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2F" w:rsidRPr="0075139B" w:rsidRDefault="00BB1D2F" w:rsidP="00BB1D2F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вопросов по дисциплине</w:t>
      </w:r>
      <w:r w:rsidRPr="0075139B">
        <w:rPr>
          <w:rFonts w:ascii="Times New Roman" w:hAnsi="Times New Roman" w:cs="Times New Roman"/>
          <w:b/>
          <w:sz w:val="24"/>
          <w:szCs w:val="24"/>
        </w:rPr>
        <w:t>:</w:t>
      </w:r>
    </w:p>
    <w:p w:rsidR="00BB1D2F" w:rsidRPr="0075139B" w:rsidRDefault="00BB1D2F" w:rsidP="00BB1D2F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 xml:space="preserve">Понятие о термодинамической системе. Системы: изолированные, закрытые, открытые.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Типы термодинамических процессов (изотермические, изобарные, изохорные).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Стандартное состояние. </w:t>
      </w:r>
      <w:r w:rsidRPr="0075139B">
        <w:rPr>
          <w:rFonts w:ascii="Times New Roman" w:hAnsi="Times New Roman" w:cs="Times New Roman"/>
          <w:sz w:val="24"/>
          <w:szCs w:val="24"/>
        </w:rPr>
        <w:t>Параметры системы: интенсивные, экстенсивные.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Функции состояния. Внутренняя энергия. Работа и теплота - две формы передачи энергии.  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Энтальпия. Первое начало термодинамики. Стандартные энтальпии: образования вещества,   сгорания вещества,   реакции.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>Закон Гесса,</w:t>
      </w:r>
      <w:r w:rsidRPr="0075139B">
        <w:rPr>
          <w:rFonts w:ascii="Times New Roman" w:hAnsi="Times New Roman" w:cs="Times New Roman"/>
          <w:sz w:val="24"/>
          <w:szCs w:val="24"/>
        </w:rPr>
        <w:t xml:space="preserve"> следствия из него и применение их в термодинамических расчетах.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Энтропия. Энергия Гиббса. </w:t>
      </w:r>
      <w:r w:rsidRPr="0075139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Второе начало термодинамики.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Стандартные энергии Гиббса: образования вещества,  биологического окисления вещества,   реакции.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Примеры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экзергонических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эндергонических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процессов, протекающих в организме. Принцип энергетического сопряжения.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Обратимые и необратимые в термодинамическом смысле процессы.  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 Константа химического равновесия. Прогно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softHyphen/>
        <w:t>зирование смещения химического равновесия. Понятие о гомеостазе и стационарном состоянии живого организма.</w:t>
      </w:r>
      <w:r w:rsidRPr="0075139B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Предмет и основные понятия химической кинетики: скорость реакции,   кинетические уравнения, порядок реакции, период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полупревращения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Классификации реакций, применяю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softHyphen/>
        <w:t>щиеся в кинетике: реакции -  гомогенные, гетерогенные и микрогетеро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softHyphen/>
        <w:t>генные; реакции простые и сложные (параллельные, последовательные, сопряженные, цепные).</w:t>
      </w:r>
      <w:proofErr w:type="gram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Молекулярность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элементарного акта реакции.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скорости реакции от концентрации. Кинетические уравнения реакций первого, второго и нулевого порядков. 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Зависимость скорости реакции от температуры. Температурный коэффициент скорости реакции и его особенности для биохимических процессов.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>Понятие о теории активных соударений. Энергетический профиль реакции; энергия активации; уравнение Аррениуса. Понятие о теории переходного состояния.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>Катализ. Гомогенный и гетерогенный катализ. Энергетический профиль каталитической реакции.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каталитической активности ферментов. Уравнение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Михаэлиса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Ментен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и его анализ.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 xml:space="preserve">Основные определения: раствор, растворитель, растворенное вещество.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>Классификация растворов по степени насыщенности: насыщенные, ненасыщенные, пересыщенные.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 xml:space="preserve">Растворимость,  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коэффициент растворимости.  Зависимость растворимости веществ в воде от соотношения гидрофильных и гидрофобных свойств,  влияние внешних условий, на растворимость. 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Способы выражения концентраций растворов: массовая доля растворенного вещества, молярная концентрация, молярная концентрация эквивалента,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моляльная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концентрация.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Pr="0075139B">
        <w:rPr>
          <w:rFonts w:ascii="Times New Roman" w:hAnsi="Times New Roman" w:cs="Times New Roman"/>
          <w:sz w:val="24"/>
          <w:szCs w:val="24"/>
        </w:rPr>
        <w:t>коллигативных</w:t>
      </w:r>
      <w:proofErr w:type="spellEnd"/>
      <w:r w:rsidRPr="0075139B">
        <w:rPr>
          <w:rFonts w:ascii="Times New Roman" w:hAnsi="Times New Roman" w:cs="Times New Roman"/>
          <w:sz w:val="24"/>
          <w:szCs w:val="24"/>
        </w:rPr>
        <w:t xml:space="preserve"> свойствах растворов: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  закон Рауля, понижение температуры замерзания раствора, повышение температуры кипения раствора.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>Диффузия: определение, типы. Роль диффузии в биосистемах.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 xml:space="preserve">Закон Вант – Гоффа об осмотическом давлении.    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Осмоляльность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осмолярность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биологических жидкостей. Роль осмоса в биологических системах: </w:t>
      </w:r>
      <w:r w:rsidRPr="0075139B">
        <w:rPr>
          <w:rFonts w:ascii="Times New Roman" w:hAnsi="Times New Roman" w:cs="Times New Roman"/>
          <w:sz w:val="24"/>
          <w:szCs w:val="24"/>
        </w:rPr>
        <w:t xml:space="preserve">плазмолиз, цитолиз, тургор. </w:t>
      </w:r>
      <w:proofErr w:type="spellStart"/>
      <w:r w:rsidRPr="0075139B">
        <w:rPr>
          <w:rFonts w:ascii="Times New Roman" w:hAnsi="Times New Roman" w:cs="Times New Roman"/>
          <w:sz w:val="24"/>
          <w:szCs w:val="24"/>
        </w:rPr>
        <w:t>Гип</w:t>
      </w:r>
      <w:proofErr w:type="gramStart"/>
      <w:r w:rsidRPr="0075139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5139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5139B">
        <w:rPr>
          <w:rFonts w:ascii="Times New Roman" w:hAnsi="Times New Roman" w:cs="Times New Roman"/>
          <w:sz w:val="24"/>
          <w:szCs w:val="24"/>
        </w:rPr>
        <w:t>, изо- и гипертонические растворы.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Теория растворов сильных электролитов. Ионная сила растворов, коэффициент активности и активность ионов.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Ионное произведение  воды. Методы определения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рН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растворов. Индикаторы. </w:t>
      </w:r>
    </w:p>
    <w:p w:rsidR="00BB1D2F" w:rsidRPr="0075139B" w:rsidRDefault="00BB1D2F" w:rsidP="00BB1D2F">
      <w:pPr>
        <w:pStyle w:val="a3"/>
        <w:numPr>
          <w:ilvl w:val="0"/>
          <w:numId w:val="1"/>
        </w:numPr>
        <w:shd w:val="clear" w:color="auto" w:fill="FFFFFF"/>
        <w:tabs>
          <w:tab w:val="left" w:pos="95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Реакции, лежащие в основе образования неорганического вещества костной ткани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гидроксифосфата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кальция. Механизм функционирования </w:t>
      </w:r>
      <w:proofErr w:type="spellStart"/>
      <w:proofErr w:type="gram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кальций-фосфатного</w:t>
      </w:r>
      <w:proofErr w:type="spellEnd"/>
      <w:proofErr w:type="gram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буфера. Явление изоморфизма: замещение в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гидроксидфосфате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кальция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гидроксид-ионов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на ионы фтора, ионов кальция на ионы стронция и бериллия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буферном действии, гомеостазе и стационарном состоянии живого организма. Буферные системы: определение, классификация, уравнение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Гендерсона-Гассельбаха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Зона буферного действия и буферная емкость. Расчет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рН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протолитических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систем.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Механизм действия буферных систем. </w:t>
      </w:r>
      <w:r w:rsidRPr="0075139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Буферные системы крови: гидрокарбонатная, фосфатная, гемоглобиновая, белковая. Механизм сопряженного действия буферных систем.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 кислотно-основном состоянии организма: </w:t>
      </w:r>
      <w:proofErr w:type="spellStart"/>
      <w:r w:rsidRPr="0075139B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Pr="0075139B">
        <w:rPr>
          <w:rFonts w:ascii="Times New Roman" w:hAnsi="Times New Roman" w:cs="Times New Roman"/>
          <w:sz w:val="24"/>
          <w:szCs w:val="24"/>
        </w:rPr>
        <w:t xml:space="preserve"> крови, ацидоз, алкалоз, </w:t>
      </w:r>
      <w:proofErr w:type="spellStart"/>
      <w:proofErr w:type="gramStart"/>
      <w:r w:rsidRPr="0075139B">
        <w:rPr>
          <w:rFonts w:ascii="Times New Roman" w:hAnsi="Times New Roman" w:cs="Times New Roman"/>
          <w:sz w:val="24"/>
          <w:szCs w:val="24"/>
        </w:rPr>
        <w:t>кислотно</w:t>
      </w:r>
      <w:proofErr w:type="spellEnd"/>
      <w:r w:rsidRPr="0075139B">
        <w:rPr>
          <w:rFonts w:ascii="Times New Roman" w:hAnsi="Times New Roman" w:cs="Times New Roman"/>
          <w:sz w:val="24"/>
          <w:szCs w:val="24"/>
        </w:rPr>
        <w:t xml:space="preserve"> – щелочной</w:t>
      </w:r>
      <w:proofErr w:type="gramEnd"/>
      <w:r w:rsidRPr="0075139B">
        <w:rPr>
          <w:rFonts w:ascii="Times New Roman" w:hAnsi="Times New Roman" w:cs="Times New Roman"/>
          <w:sz w:val="24"/>
          <w:szCs w:val="24"/>
        </w:rPr>
        <w:t xml:space="preserve"> резерв крови. </w:t>
      </w:r>
      <w:r w:rsidRPr="0075139B">
        <w:rPr>
          <w:rFonts w:ascii="Times New Roman" w:hAnsi="Times New Roman" w:cs="Times New Roman"/>
          <w:color w:val="000000"/>
          <w:spacing w:val="-4"/>
          <w:sz w:val="24"/>
          <w:szCs w:val="24"/>
        </w:rPr>
        <w:t>Виды нарушений КОС и способы коррекции.</w:t>
      </w:r>
    </w:p>
    <w:p w:rsidR="00BB1D2F" w:rsidRPr="0075139B" w:rsidRDefault="00BB1D2F" w:rsidP="00BB1D2F">
      <w:pPr>
        <w:pStyle w:val="a3"/>
        <w:numPr>
          <w:ilvl w:val="0"/>
          <w:numId w:val="1"/>
        </w:numPr>
        <w:shd w:val="clear" w:color="auto" w:fill="FFFFFF"/>
        <w:tabs>
          <w:tab w:val="left" w:pos="957"/>
          <w:tab w:val="left" w:pos="166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5139B">
        <w:rPr>
          <w:rFonts w:ascii="Times New Roman" w:hAnsi="Times New Roman" w:cs="Times New Roman"/>
          <w:sz w:val="24"/>
          <w:szCs w:val="24"/>
        </w:rPr>
        <w:t>Типы окислительно-восстановительных (</w:t>
      </w:r>
      <w:proofErr w:type="spellStart"/>
      <w:r w:rsidRPr="0075139B">
        <w:rPr>
          <w:rFonts w:ascii="Times New Roman" w:hAnsi="Times New Roman" w:cs="Times New Roman"/>
          <w:sz w:val="24"/>
          <w:szCs w:val="24"/>
        </w:rPr>
        <w:t>редокс</w:t>
      </w:r>
      <w:proofErr w:type="spellEnd"/>
      <w:r w:rsidRPr="0075139B">
        <w:rPr>
          <w:rFonts w:ascii="Times New Roman" w:hAnsi="Times New Roman" w:cs="Times New Roman"/>
          <w:sz w:val="24"/>
          <w:szCs w:val="24"/>
        </w:rPr>
        <w:t xml:space="preserve">) реакций в организме человека. Электроды </w:t>
      </w:r>
      <w:r w:rsidRPr="0075139B">
        <w:rPr>
          <w:rFonts w:ascii="Times New Roman" w:hAnsi="Times New Roman" w:cs="Times New Roman"/>
          <w:sz w:val="24"/>
          <w:szCs w:val="24"/>
          <w:lang w:val="uk-UA"/>
        </w:rPr>
        <w:t xml:space="preserve">І, ІІ </w:t>
      </w:r>
      <w:r w:rsidRPr="0075139B">
        <w:rPr>
          <w:rFonts w:ascii="Times New Roman" w:hAnsi="Times New Roman" w:cs="Times New Roman"/>
          <w:sz w:val="24"/>
          <w:szCs w:val="24"/>
        </w:rPr>
        <w:t xml:space="preserve">рода. </w:t>
      </w: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Механизм возникновения электродного и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редокс-потенциалов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Уравнения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Нернста-Петерса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Физико-химические принципы транспорта электронов в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электронотранспортной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цепи митохондрий. Коррозия химическая и электрохимическая. Возникновение ЭДС в полости рта при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металлопротезировании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Поверхностная энергия Гиббса и поверхностное натяжение. Сорбция. Абсорбция. Адсорбция. Адсорбция  газов на неподвижных границах раздела фаз.  Уравнение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Ленгмюра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Адсорбция из растворов на твердых адсорбентах. Зависимость величины адсорбции от различных факторов.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Ионобменная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адсорбция. Адсорбция на подвижной поверхности раздела фаз. Физическая адсорбция и хемосорбция. Поверхностно-активные (ПАВ) и поверхностно-неактивные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вещества</w:t>
      </w:r>
      <w:proofErr w:type="gram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.И</w:t>
      </w:r>
      <w:proofErr w:type="gramEnd"/>
      <w:r w:rsidRPr="0075139B">
        <w:rPr>
          <w:rFonts w:ascii="Times New Roman" w:hAnsi="Times New Roman" w:cs="Times New Roman"/>
          <w:color w:val="000000"/>
          <w:sz w:val="24"/>
          <w:szCs w:val="24"/>
        </w:rPr>
        <w:t>зменение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поверхностной активности в гомологических рядах (правило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Траубе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Дисперсные системы и их классификация по: степени дисперсности;  агрегатному состоянию фаз;  силе межмолекулярного взаимодействия между дисперсной фазой и дисперсионной средой.  Получение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лиофобных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коллоидных растворов   Образование и строение мицелл. Свойства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лиофобных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 коллоидных растворов: молекулярно-кинетические, оптические, диализ, электродиализ.  </w:t>
      </w:r>
    </w:p>
    <w:p w:rsidR="00BB1D2F" w:rsidRPr="0075139B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Устойчивость коллоидных растворов: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седиментационная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агрегативная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 xml:space="preserve">.    Факторы, влияющие на устойчивость </w:t>
      </w:r>
      <w:proofErr w:type="spellStart"/>
      <w:r w:rsidRPr="0075139B">
        <w:rPr>
          <w:rFonts w:ascii="Times New Roman" w:hAnsi="Times New Roman" w:cs="Times New Roman"/>
          <w:color w:val="000000"/>
          <w:sz w:val="24"/>
          <w:szCs w:val="24"/>
        </w:rPr>
        <w:t>лиозолей</w:t>
      </w:r>
      <w:proofErr w:type="spellEnd"/>
      <w:r w:rsidRPr="0075139B">
        <w:rPr>
          <w:rFonts w:ascii="Times New Roman" w:hAnsi="Times New Roman" w:cs="Times New Roman"/>
          <w:color w:val="000000"/>
          <w:sz w:val="24"/>
          <w:szCs w:val="24"/>
        </w:rPr>
        <w:t>. Коагуляция, механизм. Порог коагуляции и его определение, правило Шульце-Гарди, явление привыкания. Взаимная коагуляция.  Пептизация. Мембраны и кровь как грубодисперсные системы.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Классификация  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органических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соединении. Функциональная группа. 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 xml:space="preserve">Общие формулы биологически важных классов органических соединении: спиртов, фенолов,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тиолов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, аминов, простых эфиров, сульфидов, альдегидов, кетонов, карбоновых кислот.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 Сопряжение, виды сопряжения: π,π- и </w:t>
      </w:r>
      <w:r w:rsidRPr="00564850">
        <w:rPr>
          <w:rFonts w:ascii="Times New Roman" w:hAnsi="Times New Roman" w:cs="Times New Roman"/>
          <w:i/>
          <w:iCs/>
          <w:sz w:val="24"/>
          <w:szCs w:val="24"/>
        </w:rPr>
        <w:t>р</w:t>
      </w:r>
      <w:r w:rsidRPr="00564850">
        <w:rPr>
          <w:rFonts w:ascii="Times New Roman" w:hAnsi="Times New Roman" w:cs="Times New Roman"/>
          <w:sz w:val="24"/>
          <w:szCs w:val="24"/>
        </w:rPr>
        <w:t>,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π-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сопряжение. </w:t>
      </w:r>
      <w:r w:rsidRPr="00564850">
        <w:rPr>
          <w:rFonts w:ascii="Times New Roman" w:hAnsi="Times New Roman" w:cs="Times New Roman"/>
          <w:bCs/>
          <w:sz w:val="24"/>
          <w:szCs w:val="24"/>
        </w:rPr>
        <w:t xml:space="preserve">Ароматичность: критерии ароматичности, правило ароматичности Хюккеля, примеры </w:t>
      </w:r>
      <w:proofErr w:type="spellStart"/>
      <w:r w:rsidRPr="00564850">
        <w:rPr>
          <w:rFonts w:ascii="Times New Roman" w:hAnsi="Times New Roman" w:cs="Times New Roman"/>
          <w:bCs/>
          <w:sz w:val="24"/>
          <w:szCs w:val="24"/>
        </w:rPr>
        <w:t>бензоидных</w:t>
      </w:r>
      <w:proofErr w:type="spellEnd"/>
      <w:r w:rsidRPr="00564850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bCs/>
          <w:sz w:val="24"/>
          <w:szCs w:val="24"/>
        </w:rPr>
        <w:t>небензоидных</w:t>
      </w:r>
      <w:proofErr w:type="spellEnd"/>
      <w:r w:rsidRPr="00564850">
        <w:rPr>
          <w:rFonts w:ascii="Times New Roman" w:hAnsi="Times New Roman" w:cs="Times New Roman"/>
          <w:bCs/>
          <w:sz w:val="24"/>
          <w:szCs w:val="24"/>
        </w:rPr>
        <w:t xml:space="preserve"> ароматических соединений. </w:t>
      </w:r>
      <w:r w:rsidRPr="00564850">
        <w:rPr>
          <w:rFonts w:ascii="Times New Roman" w:hAnsi="Times New Roman" w:cs="Times New Roman"/>
          <w:sz w:val="24"/>
          <w:szCs w:val="24"/>
        </w:rPr>
        <w:t>Поляризация связей и электронные эффекты (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индуктивный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мезомерный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Электронодонорные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электроноакцепторные заместители.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4850">
        <w:rPr>
          <w:rFonts w:ascii="Times New Roman" w:hAnsi="Times New Roman" w:cs="Times New Roman"/>
          <w:sz w:val="24"/>
          <w:szCs w:val="24"/>
        </w:rPr>
        <w:t>Понятия – субстрат, реагент, реакционный центр, продукт реакции, энергия активации, скорость реакции, механизм.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Типы реагентов: радикальные, кислотные, основные,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электрофильные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, нуклеофильные. Способы разрыва ковалентной связи в органических соединениях и образующиеся при этом частицы: свободные радикалы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гомолитический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разрыв),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карбкатионы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карбанионы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гетеролитический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разрыв).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4850">
        <w:rPr>
          <w:rFonts w:ascii="Times New Roman" w:hAnsi="Times New Roman" w:cs="Times New Roman"/>
          <w:sz w:val="24"/>
          <w:szCs w:val="24"/>
        </w:rPr>
        <w:t xml:space="preserve">Классификация  органических реакций по результату (замещения, присоединения, элиминирования, перегруппировки,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окислительно-восстанови-тельные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) и по механизму – радикальные, ионные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электрофильные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, нуклеофильные), согласованные.</w:t>
      </w:r>
      <w:proofErr w:type="gramEnd"/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Элементы симметрии молекул.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Хиральные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молекулы. Асимметрический атом углерода как центр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хиральности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Стереоизомерия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молекул с одним центром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хиральности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энантиомерия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). Оптическая активность. Проекционные формулы Фишера. Относительная D- и L – система стереохимической номенклатуры. Абсолютная конфигурация стереоизомеров.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Стереоизомерия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молекул с двумя и более центрами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хиральности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энантиомерия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диастереомерия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Мезоформы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. Рацемические смеси.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Многоатомные спирты: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этандиол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глицерин, инозит.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Хелатные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комплексы. Сложные эфиры многоатомных спиртов с неорганическими кислотами (нитроглицерин, фосфаты глицерина, инозита). </w:t>
      </w:r>
      <w:proofErr w:type="spellStart"/>
      <w:proofErr w:type="gramStart"/>
      <w:r w:rsidRPr="00564850">
        <w:rPr>
          <w:rFonts w:ascii="Times New Roman" w:hAnsi="Times New Roman" w:cs="Times New Roman"/>
          <w:sz w:val="24"/>
          <w:szCs w:val="24"/>
        </w:rPr>
        <w:t>Диметакрилатглицефосфорная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кислота как компонент пломбировочного материала).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Двухатомные фенолы: гидрохинон, резорцин, пирокатехин. </w:t>
      </w:r>
      <w:proofErr w:type="spellStart"/>
      <w:r w:rsidRPr="00564850">
        <w:rPr>
          <w:rFonts w:ascii="Times New Roman" w:hAnsi="Times New Roman" w:cs="Times New Roman"/>
          <w:i/>
          <w:sz w:val="24"/>
          <w:szCs w:val="24"/>
        </w:rPr>
        <w:t>Полиамины</w:t>
      </w:r>
      <w:proofErr w:type="gramStart"/>
      <w:r w:rsidRPr="00564850">
        <w:rPr>
          <w:rFonts w:ascii="Times New Roman" w:hAnsi="Times New Roman" w:cs="Times New Roman"/>
          <w:i/>
          <w:sz w:val="24"/>
          <w:szCs w:val="24"/>
        </w:rPr>
        <w:t>:</w:t>
      </w:r>
      <w:r w:rsidRPr="00564850">
        <w:rPr>
          <w:rFonts w:ascii="Times New Roman" w:hAnsi="Times New Roman" w:cs="Times New Roman"/>
          <w:sz w:val="24"/>
          <w:szCs w:val="24"/>
        </w:rPr>
        <w:t>э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>тилендиамин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путресцин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кадаверин.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Аминоспирты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аминоэтанол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коламин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), холин, ацетилхолин.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Аминофенолы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: дофамин, норадреналин, адреналин. Понятие о биологической роли этих соединений и их производных.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Монокарбоновые кислоты:     химические свойства с участием карбоксильной группы: </w:t>
      </w:r>
      <w:r w:rsidRPr="00564850">
        <w:rPr>
          <w:rFonts w:ascii="Times New Roman" w:hAnsi="Times New Roman" w:cs="Times New Roman"/>
          <w:sz w:val="24"/>
          <w:szCs w:val="24"/>
        </w:rPr>
        <w:lastRenderedPageBreak/>
        <w:t xml:space="preserve">(образование солей, сложных эфиров, амидов, ангидридов). Функциональные производные карбоновых кислот 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тиоэфиры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–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АцетилКоА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АцилКоА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).   Насыщенные дикарбоновые кислоты: щавелевая,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малоновая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янтарная,  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глутаровая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  Соли щавелевой кислоты -  оксалаты.  Превращение янтарной кислоты в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фумаровую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как пример биологической реакции дегидрирования. Ненасыщенные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дикарбоновый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кислоты: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фумаровая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малеиновая их  пространственное строение. 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Гидроксикарбоновые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кислоты: гликолевая, молочная, яблочная, лимонная, изолимонная, </w:t>
      </w:r>
      <w:r w:rsidRPr="00564850">
        <w:rPr>
          <w:rFonts w:ascii="Times New Roman" w:hAnsi="Times New Roman" w:cs="Times New Roman"/>
          <w:sz w:val="24"/>
          <w:szCs w:val="24"/>
        </w:rPr>
        <w:sym w:font="Symbol" w:char="F062"/>
      </w:r>
      <w:r w:rsidRPr="00564850">
        <w:rPr>
          <w:rFonts w:ascii="Times New Roman" w:hAnsi="Times New Roman" w:cs="Times New Roman"/>
          <w:sz w:val="24"/>
          <w:szCs w:val="24"/>
        </w:rPr>
        <w:t xml:space="preserve">- и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sym w:font="Symbol" w:char="F067"/>
      </w:r>
      <w:r w:rsidRPr="00564850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End"/>
      <w:r w:rsidRPr="00564850">
        <w:rPr>
          <w:rFonts w:ascii="Times New Roman" w:hAnsi="Times New Roman" w:cs="Times New Roman"/>
          <w:sz w:val="24"/>
          <w:szCs w:val="24"/>
        </w:rPr>
        <w:t>гидроксимасляные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Химические свойства: реакции дегидратации, окисления, образования эфиров.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Оксокарбоновые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кислоты– </w:t>
      </w:r>
      <w:proofErr w:type="spellStart"/>
      <w:proofErr w:type="gramStart"/>
      <w:r w:rsidRPr="00564850">
        <w:rPr>
          <w:rFonts w:ascii="Times New Roman" w:hAnsi="Times New Roman" w:cs="Times New Roman"/>
          <w:sz w:val="24"/>
          <w:szCs w:val="24"/>
        </w:rPr>
        <w:t>ал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>ьдегидо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кетонокислоты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глиоксиловая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пировиноградная,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щавелевоуксусная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β -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оксомасляная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r w:rsidRPr="00564850">
        <w:rPr>
          <w:rFonts w:ascii="Times New Roman" w:hAnsi="Times New Roman" w:cs="Times New Roman"/>
          <w:sz w:val="24"/>
          <w:szCs w:val="24"/>
        </w:rPr>
        <w:sym w:font="Symbol" w:char="F061"/>
      </w:r>
      <w:r w:rsidRPr="0056485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оксоглутаровая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декарбоксилирования</w:t>
      </w:r>
      <w:proofErr w:type="spellEnd"/>
      <w:proofErr w:type="gramStart"/>
      <w:r w:rsidRPr="00564850">
        <w:rPr>
          <w:rFonts w:ascii="Times New Roman" w:hAnsi="Times New Roman" w:cs="Times New Roman"/>
          <w:sz w:val="24"/>
          <w:szCs w:val="24"/>
        </w:rPr>
        <w:sym w:font="Symbol" w:char="F062"/>
      </w:r>
      <w:r w:rsidRPr="00564850">
        <w:rPr>
          <w:rFonts w:ascii="Times New Roman" w:hAnsi="Times New Roman" w:cs="Times New Roman"/>
          <w:sz w:val="24"/>
          <w:szCs w:val="24"/>
        </w:rPr>
        <w:t>-</w:t>
      </w:r>
      <w:proofErr w:type="spellStart"/>
      <w:proofErr w:type="gramEnd"/>
      <w:r w:rsidRPr="00564850">
        <w:rPr>
          <w:rFonts w:ascii="Times New Roman" w:hAnsi="Times New Roman" w:cs="Times New Roman"/>
          <w:sz w:val="24"/>
          <w:szCs w:val="24"/>
        </w:rPr>
        <w:t>кетонокислот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окислительного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декарбоксилированиякетонокислот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реакции восстановления.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Кето-енольная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таутомерия.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Высшие жирные карбоновые кислоты (ВЖК) - пальмитиновая, стеариновая, олеиновая,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линолевая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линоленовая,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арахидоновая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их  классификация,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sym w:font="Symbol" w:char="F077"/>
      </w:r>
      <w:r w:rsidRPr="0056485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номенклатура, структура и физические свойства.  Заменимые и незаменимые высшие жирные кислоты, содержание в организме, витамин F. Особенности ненасыщенных  жирных кислот. Химические свойства ВЖК: образование солей, реакция этерификации с образованием  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тиоэфиров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ацилКоА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ацетил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КоА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Общее представление о липидах:  классификация,   биологическая роль.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 xml:space="preserve">Простые (нейтральные) липиды –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триацилглицерины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: номенклатура,  состав,   свойства (гидролиз, реакции присоединения, окисления).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Фосфолипиды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Фосфатидные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кислоты: строение,   синтез и гидролиз.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Фосфолипиды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фосфатидилэтаноламины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фосфатидилсерины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фосфатидилхолины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фосфатидилинозитолы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: состав, биологическая роль. Реакции гидролиза и образования.   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Углеводы: определение, классификация. Моносахариды: классификация, примеры.    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Стереоизомерия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моносахаридов. D- и L- стереохимические ряды. Открытые и циклические формы. Формулы Фишера,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Колли-Толленса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Хеуорса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Фуранозы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пиранозы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; α- и β-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аномеры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Цикло-оксо-таутомерия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. Мутаротация.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Общая характеристика и классификация полисахаридов. Дисахариды (мальтоза, лактоза,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лактулоза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сахароза,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целлобиоза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): строение, классификация (восстанавливающие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невосстанавливающие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цикло-оксо-таутомерия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их химические свойства: гидролиз, окисление редуцирующих сахаров.  </w:t>
      </w:r>
      <w:proofErr w:type="spellStart"/>
      <w:proofErr w:type="gram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Гомополисахариды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>: крахмал (амилоза и амилопектин), гликоген, целлюлоза - строение, свойства, гидролиз, биологическая роль.</w:t>
      </w:r>
      <w:proofErr w:type="gram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Гетерополисахариды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гиалуроновая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кислота,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хондроитинсульфаты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): строение, биологическая роль.  Понятие о смешанных биополимерах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протеогликаны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, гликопротеины, гликолипиды).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>Пиримидиновые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урацил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тимин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цитозин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) и пуриновые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гуанин) основания: структура,   лактим-лактамная таутомерия.  Нуклеозиды: структура, номенклатура, образование и гидролиз.   Характер связи нуклеинового основания с углеводным остатком;  Нуклеотиды: строение,   номенклатура, характер связи.  Гидролиз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нуклеотидов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>уклеозидмоно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- и полифосфаты. АМФ, АДФ, АТФ. Роль АТФ.  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Нуклеозидциклофосфаты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цАМФ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цГМФ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) как вторичные посредники в регуляции метаболизма клетки.  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Первичная структура нуклеиновых кислот: нуклеотидный состав РНК и ДНК,  фосфодиэфирная связь. Гидролиз нуклеиновых кислот. Понятие о вторичной структуре ДНК.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Комплементарность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нуклеиновых оснований. Водородные связи  в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комплементарных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парах нуклеиновых оснований. Лекарственные средства на основе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модифицированных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нуклеиновых основании</w:t>
      </w:r>
      <w:r w:rsidRPr="00564850">
        <w:rPr>
          <w:rFonts w:ascii="Times New Roman" w:hAnsi="Cambria Math" w:cs="Times New Roman"/>
          <w:sz w:val="24"/>
          <w:szCs w:val="24"/>
        </w:rPr>
        <w:t>̆</w:t>
      </w:r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фторурацил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меркаптопурин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): структура и механизм действия.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Аминокислоты, входящие в состав белков: классификация с учетом  химической природы радикала и его способности взаимодействовать с водой. Незаменимые аминокислоты.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Стереоизомерия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строение, номенклатура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аминокислот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>ислотно-основные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свойства, биполярная структура.   Изоэлектрическая точка нейтральных, кислых и основных аминокислот. Химические свойства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аминокислот как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гетерофункциональных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соединений: </w:t>
      </w:r>
      <w:r w:rsidRPr="00564850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образование внутрикомплексных солей, реакции этерификации,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ацилирования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алкилирования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  образования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иминов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Взаимодействие с азотистой кислотой и формальдегидом.  Качественные реакции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α-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аминокислот. Биологически важные реакции аминокислот. Образование  аминокислот в результате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восстановительного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аминирования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реакции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трансаминирования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декарбоксилирования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, ведущие к образованию биогенных аминов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биорегуляторов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гидроксилирования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фенилаланин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→ тирозин, триптофан → 5-гидрокситриптофан,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пролин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→ 4-гидроксипролин). </w:t>
      </w: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Роль </w:t>
      </w: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гидроксипролина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 в стабилизации спирали коллагена дентина и эмали. </w:t>
      </w:r>
      <w:r w:rsidRPr="00564850">
        <w:rPr>
          <w:rFonts w:ascii="Times New Roman" w:hAnsi="Times New Roman" w:cs="Times New Roman"/>
          <w:sz w:val="24"/>
          <w:szCs w:val="24"/>
        </w:rPr>
        <w:t xml:space="preserve">Окисление цистеина.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Дисульфидная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связь.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sz w:val="24"/>
          <w:szCs w:val="24"/>
        </w:rPr>
        <w:t xml:space="preserve">Пептиды. Электронное и пространственное строение пептидной связи. Первичная структура пептидов и белков. Вторичная структура белков (α-спираль и </w:t>
      </w:r>
      <w:proofErr w:type="gramStart"/>
      <w:r w:rsidRPr="00564850">
        <w:rPr>
          <w:rFonts w:ascii="Times New Roman" w:hAnsi="Times New Roman" w:cs="Times New Roman"/>
          <w:sz w:val="24"/>
          <w:szCs w:val="24"/>
        </w:rPr>
        <w:t>β-</w:t>
      </w:r>
      <w:proofErr w:type="gramEnd"/>
      <w:r w:rsidRPr="00564850">
        <w:rPr>
          <w:rFonts w:ascii="Times New Roman" w:hAnsi="Times New Roman" w:cs="Times New Roman"/>
          <w:sz w:val="24"/>
          <w:szCs w:val="24"/>
        </w:rPr>
        <w:t xml:space="preserve">складчатая структура); стабилизация в пространстве. Третичная структура белков; взаимодействия, стабилизирующие третичную структуру. </w:t>
      </w:r>
    </w:p>
    <w:p w:rsidR="00BB1D2F" w:rsidRPr="00564850" w:rsidRDefault="00BB1D2F" w:rsidP="00BB1D2F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Кислотный и щелочной гидролиз пептидов. Установление аминокислотного состава с помощью современных физико-химических методов. Особенности структуры коллагена, белков эмали и дентина. </w:t>
      </w: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Кальций-связывающие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 белки дентина и эмали. Изменение аминокислотного состава коллагена дентина при эволюции зубного зачатка в постоянный зуб. </w:t>
      </w:r>
      <w:r w:rsidRPr="00564850">
        <w:rPr>
          <w:rFonts w:ascii="Times New Roman" w:hAnsi="Times New Roman" w:cs="Times New Roman"/>
          <w:sz w:val="24"/>
          <w:szCs w:val="24"/>
        </w:rPr>
        <w:t xml:space="preserve">Физико-химические свойства белков: растворимость, ионизация, гидратация,  денатурация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ренатурация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Растворы ВМС как </w:t>
      </w: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лиофильные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 коллоидные растворы: особенности образования мицелл. </w:t>
      </w: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Липосомы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64850">
        <w:rPr>
          <w:rFonts w:ascii="Times New Roman" w:hAnsi="Times New Roman" w:cs="Times New Roman"/>
          <w:sz w:val="24"/>
          <w:szCs w:val="24"/>
        </w:rPr>
        <w:t xml:space="preserve">Устойчивость и разрушение растворов биополимеров.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Высаливание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солюбилизация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. </w:t>
      </w: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растворов ВМС: набухание и растворение.   Зависимость величины набухания от различных факторов. </w:t>
      </w:r>
      <w:r w:rsidRPr="00564850">
        <w:rPr>
          <w:rFonts w:ascii="Times New Roman" w:hAnsi="Times New Roman" w:cs="Times New Roman"/>
          <w:sz w:val="24"/>
          <w:szCs w:val="24"/>
        </w:rPr>
        <w:t xml:space="preserve"> Изоэлектрическая точка и методы ее определения. </w:t>
      </w:r>
    </w:p>
    <w:p w:rsidR="00BB1D2F" w:rsidRPr="00564850" w:rsidRDefault="00BB1D2F" w:rsidP="00BB1D2F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Аномальная вязкость растворов ВМС. </w:t>
      </w:r>
      <w:r w:rsidRPr="00564850">
        <w:rPr>
          <w:rFonts w:ascii="Times New Roman" w:hAnsi="Times New Roman" w:cs="Times New Roman"/>
          <w:spacing w:val="-4"/>
          <w:sz w:val="24"/>
          <w:szCs w:val="24"/>
        </w:rPr>
        <w:t xml:space="preserve">Вязкость крови и других биологических жидкостей. Осмотическое давление растворов биополимеров. </w:t>
      </w:r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Мембранное равновесие </w:t>
      </w: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Доннана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Застудневание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растворов ВМС. Свойства студней: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синерезис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64850">
        <w:rPr>
          <w:rFonts w:ascii="Times New Roman" w:hAnsi="Times New Roman" w:cs="Times New Roman"/>
          <w:sz w:val="24"/>
          <w:szCs w:val="24"/>
        </w:rPr>
        <w:t>тиксотропия</w:t>
      </w:r>
      <w:proofErr w:type="spellEnd"/>
      <w:r w:rsidRPr="00564850">
        <w:rPr>
          <w:rFonts w:ascii="Times New Roman" w:hAnsi="Times New Roman" w:cs="Times New Roman"/>
          <w:sz w:val="24"/>
          <w:szCs w:val="24"/>
        </w:rPr>
        <w:t>.</w:t>
      </w:r>
    </w:p>
    <w:p w:rsidR="00BB1D2F" w:rsidRPr="00564850" w:rsidRDefault="00BB1D2F" w:rsidP="00BB1D2F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4850">
        <w:rPr>
          <w:rFonts w:ascii="Times New Roman" w:hAnsi="Times New Roman" w:cs="Times New Roman"/>
          <w:color w:val="000000"/>
          <w:sz w:val="24"/>
          <w:szCs w:val="24"/>
        </w:rPr>
        <w:t>Онкотическое</w:t>
      </w:r>
      <w:proofErr w:type="spellEnd"/>
      <w:r w:rsidRPr="00564850">
        <w:rPr>
          <w:rFonts w:ascii="Times New Roman" w:hAnsi="Times New Roman" w:cs="Times New Roman"/>
          <w:color w:val="000000"/>
          <w:sz w:val="24"/>
          <w:szCs w:val="24"/>
        </w:rPr>
        <w:t xml:space="preserve"> давление плазмы и сыворотки крови.</w:t>
      </w:r>
    </w:p>
    <w:p w:rsidR="00BE415D" w:rsidRDefault="00BE415D"/>
    <w:sectPr w:rsidR="00BE415D" w:rsidSect="00BB1D2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11A61"/>
    <w:multiLevelType w:val="hybridMultilevel"/>
    <w:tmpl w:val="B0C03398"/>
    <w:lvl w:ilvl="0" w:tplc="9A620B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D2F"/>
    <w:rsid w:val="004C1DAC"/>
    <w:rsid w:val="008844E8"/>
    <w:rsid w:val="00976CA6"/>
    <w:rsid w:val="009E07B8"/>
    <w:rsid w:val="00AB2328"/>
    <w:rsid w:val="00B60612"/>
    <w:rsid w:val="00BB1D2F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2F"/>
    <w:pPr>
      <w:ind w:left="720"/>
      <w:contextualSpacing/>
    </w:pPr>
  </w:style>
  <w:style w:type="character" w:customStyle="1" w:styleId="apple-converted-space">
    <w:name w:val="apple-converted-space"/>
    <w:rsid w:val="00BB1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2012</Words>
  <Characters>11469</Characters>
  <Application>Microsoft Office Word</Application>
  <DocSecurity>0</DocSecurity>
  <Lines>95</Lines>
  <Paragraphs>26</Paragraphs>
  <ScaleCrop>false</ScaleCrop>
  <Company>Microsoft</Company>
  <LinksUpToDate>false</LinksUpToDate>
  <CharactersWithSpaces>13455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2016-11-14T10:09:00Z</dcterms:created>
  <dcterms:modified xsi:type="dcterms:W3CDTF">2016-11-14T10:10:00Z</dcterms:modified>
</cp:coreProperties>
</file>