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517" w:rsidRPr="00D465EC" w:rsidRDefault="00F35517" w:rsidP="00F35517">
      <w:pPr>
        <w:spacing w:line="240" w:lineRule="exact"/>
        <w:jc w:val="right"/>
      </w:pPr>
      <w:r w:rsidRPr="00D465EC">
        <w:t>УТВЕРЖДАЮ</w:t>
      </w:r>
    </w:p>
    <w:p w:rsidR="00F35517" w:rsidRPr="00D465EC" w:rsidRDefault="00F35517" w:rsidP="00F35517">
      <w:pPr>
        <w:spacing w:line="240" w:lineRule="exact"/>
        <w:jc w:val="right"/>
      </w:pPr>
      <w:r w:rsidRPr="00D465EC">
        <w:t>Декан медицинского факультета</w:t>
      </w:r>
    </w:p>
    <w:p w:rsidR="00F35517" w:rsidRPr="00D465EC" w:rsidRDefault="00F35517" w:rsidP="00F35517">
      <w:pPr>
        <w:spacing w:line="240" w:lineRule="exact"/>
        <w:jc w:val="right"/>
      </w:pPr>
      <w:r w:rsidRPr="00D465EC">
        <w:t>по специальности «Педиатрия» ФГБОУ ВО ЛГМУ</w:t>
      </w:r>
    </w:p>
    <w:p w:rsidR="00F35517" w:rsidRPr="00D465EC" w:rsidRDefault="00F35517" w:rsidP="00F35517">
      <w:pPr>
        <w:spacing w:line="240" w:lineRule="exact"/>
        <w:jc w:val="right"/>
        <w:rPr>
          <w:color w:val="000000"/>
        </w:rPr>
      </w:pPr>
      <w:r w:rsidRPr="00D465EC">
        <w:t xml:space="preserve"> им. </w:t>
      </w:r>
      <w:proofErr w:type="spellStart"/>
      <w:r w:rsidRPr="00D465EC">
        <w:t>Свт</w:t>
      </w:r>
      <w:proofErr w:type="spellEnd"/>
      <w:r w:rsidRPr="00D465EC">
        <w:t>. Луки Минздрава России</w:t>
      </w:r>
    </w:p>
    <w:p w:rsidR="00F35517" w:rsidRPr="00D465EC" w:rsidRDefault="00F35517" w:rsidP="00F35517">
      <w:pPr>
        <w:spacing w:line="240" w:lineRule="exact"/>
        <w:jc w:val="right"/>
        <w:rPr>
          <w:color w:val="000000"/>
        </w:rPr>
      </w:pPr>
      <w:r w:rsidRPr="00D465EC">
        <w:rPr>
          <w:color w:val="000000"/>
        </w:rPr>
        <w:t xml:space="preserve">_______________ </w:t>
      </w:r>
      <w:proofErr w:type="spellStart"/>
      <w:r w:rsidRPr="00D465EC">
        <w:rPr>
          <w:color w:val="000000"/>
        </w:rPr>
        <w:t>д.мед.н</w:t>
      </w:r>
      <w:proofErr w:type="spellEnd"/>
      <w:r w:rsidRPr="00D465EC">
        <w:rPr>
          <w:color w:val="000000"/>
        </w:rPr>
        <w:t xml:space="preserve">., проф. </w:t>
      </w:r>
      <w:proofErr w:type="spellStart"/>
      <w:r w:rsidRPr="00D465EC">
        <w:rPr>
          <w:color w:val="000000"/>
        </w:rPr>
        <w:t>Сиротченко</w:t>
      </w:r>
      <w:proofErr w:type="spellEnd"/>
      <w:r w:rsidRPr="00D465EC">
        <w:rPr>
          <w:color w:val="000000"/>
        </w:rPr>
        <w:t xml:space="preserve"> Т.А.</w:t>
      </w:r>
    </w:p>
    <w:p w:rsidR="00F35517" w:rsidRPr="00D465EC" w:rsidRDefault="00F35517" w:rsidP="00F35517">
      <w:pPr>
        <w:spacing w:line="240" w:lineRule="exact"/>
        <w:jc w:val="right"/>
        <w:rPr>
          <w:color w:val="000000"/>
        </w:rPr>
      </w:pPr>
      <w:r w:rsidRPr="00D465EC">
        <w:rPr>
          <w:color w:val="000000"/>
        </w:rPr>
        <w:t>0</w:t>
      </w:r>
      <w:r w:rsidR="001679F6">
        <w:rPr>
          <w:color w:val="000000"/>
        </w:rPr>
        <w:t>2</w:t>
      </w:r>
      <w:r w:rsidRPr="00D465EC">
        <w:rPr>
          <w:color w:val="000000"/>
        </w:rPr>
        <w:t>.09.202</w:t>
      </w:r>
      <w:r w:rsidR="001679F6">
        <w:rPr>
          <w:color w:val="000000"/>
        </w:rPr>
        <w:t>4</w:t>
      </w:r>
      <w:r w:rsidRPr="00D465EC">
        <w:rPr>
          <w:color w:val="000000"/>
        </w:rPr>
        <w:t xml:space="preserve"> г</w:t>
      </w:r>
    </w:p>
    <w:p w:rsidR="009A0691" w:rsidRPr="00D465EC" w:rsidRDefault="009A0691" w:rsidP="009A0691">
      <w:pPr>
        <w:jc w:val="center"/>
        <w:rPr>
          <w:b/>
        </w:rPr>
      </w:pPr>
      <w:r w:rsidRPr="00D465EC">
        <w:rPr>
          <w:b/>
          <w:bCs/>
        </w:rPr>
        <w:t xml:space="preserve">Перечень практических навыков по </w:t>
      </w:r>
      <w:r w:rsidRPr="00D465EC">
        <w:rPr>
          <w:b/>
        </w:rPr>
        <w:t>дисциплине «Госпитальная педиатрия» для студентов 6 курса</w:t>
      </w:r>
    </w:p>
    <w:p w:rsidR="009A0691" w:rsidRPr="00D465EC" w:rsidRDefault="009A0691" w:rsidP="009A0691">
      <w:pPr>
        <w:jc w:val="center"/>
        <w:rPr>
          <w:b/>
        </w:rPr>
      </w:pPr>
      <w:r w:rsidRPr="00D465EC">
        <w:rPr>
          <w:b/>
        </w:rPr>
        <w:t>медицинского факультета по специальности «Педиатрия»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общего анализа крови.</w:t>
      </w:r>
    </w:p>
    <w:p w:rsidR="008A18C0" w:rsidRPr="00D465EC" w:rsidRDefault="008A18C0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общего анализа мочи.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биохимического анализа крови.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рентгенографии суставов.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Провести дифференциальную диагностику артритов различной этиологии.</w:t>
      </w:r>
    </w:p>
    <w:p w:rsidR="006676A8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обследования ребёнка с ЮРА.</w:t>
      </w:r>
    </w:p>
    <w:p w:rsidR="006676A8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Провести дифференциальный диагноз ЮРА с другими формами артритов у детей.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ЮРА с учётом клинической формы, определить показания к назначе</w:t>
      </w:r>
      <w:r w:rsidR="006676A8" w:rsidRPr="00D465EC">
        <w:rPr>
          <w:snapToGrid w:val="0"/>
        </w:rPr>
        <w:t>нию генно-инженерной биологической терапии</w:t>
      </w:r>
      <w:r w:rsidRPr="00D465EC">
        <w:rPr>
          <w:snapToGrid w:val="0"/>
        </w:rPr>
        <w:t>.</w:t>
      </w:r>
    </w:p>
    <w:p w:rsidR="008A144D" w:rsidRPr="00D465EC" w:rsidRDefault="008A144D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Оценить результаты </w:t>
      </w:r>
      <w:proofErr w:type="spellStart"/>
      <w:r w:rsidRPr="00D465EC">
        <w:rPr>
          <w:snapToGrid w:val="0"/>
        </w:rPr>
        <w:t>иммунограммы</w:t>
      </w:r>
      <w:proofErr w:type="spellEnd"/>
      <w:r w:rsidRPr="00D465EC">
        <w:rPr>
          <w:snapToGrid w:val="0"/>
        </w:rPr>
        <w:t>.</w:t>
      </w:r>
    </w:p>
    <w:p w:rsidR="008A144D" w:rsidRPr="00D465EC" w:rsidRDefault="008A144D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теста на наличие антинуклеарных антител.</w:t>
      </w:r>
    </w:p>
    <w:p w:rsidR="008A144D" w:rsidRPr="00D465EC" w:rsidRDefault="008A144D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биопсии мягких тканей у пациента с подозрением на диффузное заболевание соединительной ткани.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системной красной волчанки, дерматомиозита, у детей с 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склеродермии, прогрессирующего склероза у детей с учётом клинической формы и тяжести течения.</w:t>
      </w:r>
    </w:p>
    <w:p w:rsidR="008A18C0" w:rsidRPr="00D465EC" w:rsidRDefault="008A18C0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Оценить результаты </w:t>
      </w:r>
      <w:proofErr w:type="spellStart"/>
      <w:r w:rsidRPr="00D465EC">
        <w:t>коагулограммы</w:t>
      </w:r>
      <w:proofErr w:type="spellEnd"/>
      <w:r w:rsidRPr="00D465EC">
        <w:t>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 xml:space="preserve">геморрагического </w:t>
      </w:r>
      <w:proofErr w:type="spellStart"/>
      <w:r w:rsidRPr="00D465EC">
        <w:t>васкулита</w:t>
      </w:r>
      <w:proofErr w:type="spellEnd"/>
      <w:r w:rsidRPr="00D465EC">
        <w:t xml:space="preserve"> у детей с 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синдрома Кавасаки у детей с учётом клинической формы и тяжести течения.</w:t>
      </w:r>
    </w:p>
    <w:p w:rsidR="00DA2820" w:rsidRPr="00D465EC" w:rsidRDefault="00DA2820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измерения АД у ребёнка.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 xml:space="preserve">узелкового </w:t>
      </w:r>
      <w:proofErr w:type="spellStart"/>
      <w:r w:rsidRPr="00D465EC">
        <w:t>полиартериита</w:t>
      </w:r>
      <w:proofErr w:type="spellEnd"/>
      <w:r w:rsidRPr="00D465EC">
        <w:t xml:space="preserve">, неспецифического </w:t>
      </w:r>
      <w:proofErr w:type="spellStart"/>
      <w:r w:rsidRPr="00D465EC">
        <w:t>аортоартериита</w:t>
      </w:r>
      <w:proofErr w:type="spellEnd"/>
      <w:r w:rsidRPr="00D465EC">
        <w:t xml:space="preserve"> у детей с учётом клинической формы и тяжести течения.</w:t>
      </w:r>
    </w:p>
    <w:p w:rsidR="00535BA9" w:rsidRPr="00D465EC" w:rsidRDefault="00535BA9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Определить дермографизм, оценить результаты теста.</w:t>
      </w:r>
    </w:p>
    <w:p w:rsidR="00535BA9" w:rsidRPr="00D465EC" w:rsidRDefault="00535BA9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Провести </w:t>
      </w:r>
      <w:proofErr w:type="spellStart"/>
      <w:r w:rsidRPr="00D465EC">
        <w:t>клиноортостатическую</w:t>
      </w:r>
      <w:proofErr w:type="spellEnd"/>
      <w:r w:rsidRPr="00D465EC">
        <w:t xml:space="preserve"> пробу, оценить её результаты.</w:t>
      </w:r>
    </w:p>
    <w:p w:rsidR="00535BA9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электрокардиограмму ребёнка.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вегетативных дисфункций у детей с учётом вида и этиологии</w:t>
      </w:r>
      <w:r w:rsidR="002B4401" w:rsidRPr="00D465EC">
        <w:rPr>
          <w:snapToGrid w:val="0"/>
        </w:rPr>
        <w:t>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алгоритм неотложной помощи при симпатоадреналовом и </w:t>
      </w:r>
      <w:proofErr w:type="spellStart"/>
      <w:r w:rsidRPr="00D465EC">
        <w:rPr>
          <w:snapToGrid w:val="0"/>
        </w:rPr>
        <w:t>вагоинсулярном</w:t>
      </w:r>
      <w:proofErr w:type="spellEnd"/>
      <w:r w:rsidRPr="00D465EC">
        <w:rPr>
          <w:snapToGrid w:val="0"/>
        </w:rPr>
        <w:t xml:space="preserve"> кризах.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Оценить результаты </w:t>
      </w:r>
      <w:proofErr w:type="spellStart"/>
      <w:r w:rsidRPr="00D465EC">
        <w:t>копрограммы</w:t>
      </w:r>
      <w:proofErr w:type="spellEnd"/>
      <w:r w:rsidRPr="00D465EC">
        <w:t>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Оценить результаты </w:t>
      </w:r>
      <w:proofErr w:type="spellStart"/>
      <w:r w:rsidRPr="00D465EC">
        <w:t>ректороманоскопии</w:t>
      </w:r>
      <w:proofErr w:type="spellEnd"/>
      <w:r w:rsidRPr="00D465EC">
        <w:t xml:space="preserve">, </w:t>
      </w:r>
      <w:proofErr w:type="spellStart"/>
      <w:r w:rsidRPr="00D465EC">
        <w:t>колоноскопии</w:t>
      </w:r>
      <w:proofErr w:type="spellEnd"/>
      <w:r w:rsidRPr="00D465EC">
        <w:t>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Оценить результаты </w:t>
      </w:r>
      <w:proofErr w:type="spellStart"/>
      <w:r w:rsidRPr="00D465EC">
        <w:t>ирригографии</w:t>
      </w:r>
      <w:proofErr w:type="spellEnd"/>
      <w:r w:rsidRPr="00D465EC">
        <w:t>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б</w:t>
      </w:r>
      <w:r w:rsidRPr="00D465EC">
        <w:t>олезни Крона у детей с 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неспецифического язвенного колита у детей с учётом клинической формы и тяжести течения.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 xml:space="preserve">Рассчитать коэффициент </w:t>
      </w:r>
      <w:proofErr w:type="spellStart"/>
      <w:r w:rsidRPr="00D465EC">
        <w:t>деРитиса</w:t>
      </w:r>
      <w:proofErr w:type="spellEnd"/>
      <w:r w:rsidRPr="00D465EC">
        <w:t>, оценить результат.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хронического </w:t>
      </w:r>
      <w:proofErr w:type="spellStart"/>
      <w:r w:rsidRPr="00D465EC">
        <w:rPr>
          <w:snapToGrid w:val="0"/>
        </w:rPr>
        <w:t>неифекционного</w:t>
      </w:r>
      <w:proofErr w:type="spellEnd"/>
      <w:r w:rsidRPr="00D465EC">
        <w:rPr>
          <w:snapToGrid w:val="0"/>
        </w:rPr>
        <w:t xml:space="preserve"> гепатита у ребенка с </w:t>
      </w:r>
      <w:r w:rsidRPr="00D465EC">
        <w:t>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цирроза печени, наследственного </w:t>
      </w:r>
      <w:proofErr w:type="spellStart"/>
      <w:r w:rsidRPr="00D465EC">
        <w:rPr>
          <w:snapToGrid w:val="0"/>
        </w:rPr>
        <w:t>гепатоза</w:t>
      </w:r>
      <w:proofErr w:type="spellEnd"/>
      <w:r w:rsidR="002B4401" w:rsidRPr="00D465EC">
        <w:rPr>
          <w:snapToGrid w:val="0"/>
        </w:rPr>
        <w:t xml:space="preserve"> </w:t>
      </w:r>
      <w:r w:rsidRPr="00D465EC">
        <w:rPr>
          <w:snapToGrid w:val="0"/>
        </w:rPr>
        <w:t xml:space="preserve">у ребенка с </w:t>
      </w:r>
      <w:r w:rsidRPr="00D465EC">
        <w:t>учётом клинической формы и тяжести течения.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результаты УЗИ органов брюшной полости.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панкреатита у ребенка с </w:t>
      </w:r>
      <w:r w:rsidRPr="00D465EC">
        <w:t>учётом клинической формы и тяжести течения.</w:t>
      </w:r>
    </w:p>
    <w:p w:rsidR="002B4401" w:rsidRPr="00D465EC" w:rsidRDefault="002B4401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t>Оценить резул</w:t>
      </w:r>
      <w:r w:rsidR="00E97F6F" w:rsidRPr="00D465EC">
        <w:t xml:space="preserve">ьтаты пробы </w:t>
      </w:r>
      <w:proofErr w:type="spellStart"/>
      <w:r w:rsidR="00E97F6F" w:rsidRPr="00D465EC">
        <w:t>Реберга</w:t>
      </w:r>
      <w:proofErr w:type="spellEnd"/>
      <w:r w:rsidR="00E97F6F" w:rsidRPr="00D465EC">
        <w:t xml:space="preserve"> (скорость клубочковой фильтрации).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 xml:space="preserve">синдрома </w:t>
      </w:r>
      <w:proofErr w:type="spellStart"/>
      <w:r w:rsidRPr="00D465EC">
        <w:t>Альпорта</w:t>
      </w:r>
      <w:proofErr w:type="spellEnd"/>
      <w:r w:rsidRPr="00D465EC">
        <w:t xml:space="preserve">, наследственного нефрита без тугоухости </w:t>
      </w:r>
      <w:r w:rsidRPr="00D465EC">
        <w:rPr>
          <w:snapToGrid w:val="0"/>
        </w:rPr>
        <w:t xml:space="preserve">у ребенка с </w:t>
      </w:r>
      <w:r w:rsidRPr="00D465EC">
        <w:t>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 xml:space="preserve">синдрома </w:t>
      </w:r>
      <w:proofErr w:type="spellStart"/>
      <w:r w:rsidRPr="00D465EC">
        <w:t>Альпорта</w:t>
      </w:r>
      <w:proofErr w:type="spellEnd"/>
      <w:r w:rsidRPr="00D465EC">
        <w:t xml:space="preserve">, наследственного нефрита без тугоухости </w:t>
      </w:r>
      <w:r w:rsidRPr="00D465EC">
        <w:rPr>
          <w:snapToGrid w:val="0"/>
        </w:rPr>
        <w:t xml:space="preserve">у ребенка с </w:t>
      </w:r>
      <w:r w:rsidRPr="00D465EC">
        <w:t>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proofErr w:type="spellStart"/>
      <w:r w:rsidRPr="00D465EC">
        <w:t>дисметаболической</w:t>
      </w:r>
      <w:proofErr w:type="spellEnd"/>
      <w:r w:rsidRPr="00D465EC">
        <w:t xml:space="preserve"> нефропатии</w:t>
      </w:r>
      <w:r w:rsidRPr="00D465EC">
        <w:rPr>
          <w:snapToGrid w:val="0"/>
        </w:rPr>
        <w:t xml:space="preserve"> у ребенка с </w:t>
      </w:r>
      <w:r w:rsidRPr="00D465EC">
        <w:t>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proofErr w:type="spellStart"/>
      <w:r w:rsidRPr="00D465EC">
        <w:t>дисметаболической</w:t>
      </w:r>
      <w:proofErr w:type="spellEnd"/>
      <w:r w:rsidRPr="00D465EC">
        <w:t xml:space="preserve"> нефропатии</w:t>
      </w:r>
      <w:r w:rsidRPr="00D465EC">
        <w:rPr>
          <w:snapToGrid w:val="0"/>
        </w:rPr>
        <w:t xml:space="preserve"> у ребенка с </w:t>
      </w:r>
      <w:r w:rsidRPr="00D465EC">
        <w:t>учётом клинической формы и тяжести течения.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хронической болезни почек</w:t>
      </w:r>
      <w:r w:rsidRPr="00D465EC">
        <w:rPr>
          <w:snapToGrid w:val="0"/>
        </w:rPr>
        <w:t xml:space="preserve"> у ребенка с </w:t>
      </w:r>
      <w:r w:rsidRPr="00D465EC">
        <w:t>учётом этиологии, стадии и тяжести течения. Определить показания к проведению гемодиализа при ХПН.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>хронической почечной недостаточности</w:t>
      </w:r>
      <w:r w:rsidRPr="00D465EC">
        <w:rPr>
          <w:snapToGrid w:val="0"/>
        </w:rPr>
        <w:t xml:space="preserve"> у ребенка с </w:t>
      </w:r>
      <w:r w:rsidRPr="00D465EC">
        <w:t>учётом этиологии, стадии и тяжести течения. Определить показания к проведению гемодиализа при ХПН.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обследования ребёнка с </w:t>
      </w:r>
      <w:proofErr w:type="spellStart"/>
      <w:r w:rsidRPr="00D465EC">
        <w:rPr>
          <w:snapToGrid w:val="0"/>
        </w:rPr>
        <w:t>онкогематологической</w:t>
      </w:r>
      <w:proofErr w:type="spellEnd"/>
      <w:r w:rsidRPr="00D465EC">
        <w:rPr>
          <w:snapToGrid w:val="0"/>
        </w:rPr>
        <w:t xml:space="preserve"> патологией, используя современные подходы к ранней диагностике.</w:t>
      </w:r>
    </w:p>
    <w:p w:rsidR="00DA4C87" w:rsidRPr="00D465EC" w:rsidRDefault="00DA4C8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Оценить результаты </w:t>
      </w:r>
      <w:proofErr w:type="spellStart"/>
      <w:r w:rsidRPr="00D465EC">
        <w:rPr>
          <w:snapToGrid w:val="0"/>
        </w:rPr>
        <w:t>миелограммы</w:t>
      </w:r>
      <w:proofErr w:type="spellEnd"/>
      <w:r w:rsidRPr="00D465EC">
        <w:rPr>
          <w:snapToGrid w:val="0"/>
        </w:rPr>
        <w:t>.</w:t>
      </w:r>
    </w:p>
    <w:p w:rsidR="00DA4C87" w:rsidRPr="00D465EC" w:rsidRDefault="00DA4C8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Оценить результаты исследования спинномозговой жидкости.</w:t>
      </w:r>
    </w:p>
    <w:p w:rsidR="00F35517" w:rsidRPr="00D465EC" w:rsidRDefault="00F3551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лейкоза у ребёнка согласно протоколу. Определить </w:t>
      </w:r>
      <w:r w:rsidRPr="00D465EC">
        <w:t>показания для пересадки костного мозга.</w:t>
      </w:r>
    </w:p>
    <w:p w:rsidR="00F35517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лимфогранулематоза у ребёнка согласно протоколу.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гипопластической анемии у ребёнка с учётом клинической формы и тяжести течения.</w:t>
      </w:r>
    </w:p>
    <w:p w:rsidR="00DA4C87" w:rsidRPr="00D465EC" w:rsidRDefault="00DA4C87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Провести </w:t>
      </w:r>
      <w:proofErr w:type="spellStart"/>
      <w:r w:rsidRPr="00D465EC">
        <w:rPr>
          <w:snapToGrid w:val="0"/>
        </w:rPr>
        <w:t>дифдиагностику</w:t>
      </w:r>
      <w:proofErr w:type="spellEnd"/>
      <w:r w:rsidRPr="00D465EC">
        <w:rPr>
          <w:snapToGrid w:val="0"/>
        </w:rPr>
        <w:t xml:space="preserve"> </w:t>
      </w:r>
      <w:proofErr w:type="spellStart"/>
      <w:r w:rsidRPr="00D465EC">
        <w:rPr>
          <w:snapToGrid w:val="0"/>
        </w:rPr>
        <w:t>надпечёночной</w:t>
      </w:r>
      <w:proofErr w:type="spellEnd"/>
      <w:r w:rsidRPr="00D465EC">
        <w:rPr>
          <w:snapToGrid w:val="0"/>
        </w:rPr>
        <w:t xml:space="preserve">, печёночной и </w:t>
      </w:r>
      <w:proofErr w:type="spellStart"/>
      <w:r w:rsidRPr="00D465EC">
        <w:rPr>
          <w:snapToGrid w:val="0"/>
        </w:rPr>
        <w:t>подпечёночной</w:t>
      </w:r>
      <w:proofErr w:type="spellEnd"/>
      <w:r w:rsidRPr="00D465EC">
        <w:rPr>
          <w:snapToGrid w:val="0"/>
        </w:rPr>
        <w:t xml:space="preserve"> </w:t>
      </w:r>
      <w:proofErr w:type="spellStart"/>
      <w:r w:rsidRPr="00D465EC">
        <w:rPr>
          <w:snapToGrid w:val="0"/>
        </w:rPr>
        <w:t>желтух</w:t>
      </w:r>
      <w:proofErr w:type="spellEnd"/>
      <w:r w:rsidRPr="00D465EC">
        <w:rPr>
          <w:snapToGrid w:val="0"/>
        </w:rPr>
        <w:t>.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>Составить план лечения гемолитической анемии у ребёнка с учётом клинической формы и тяжести течения.</w:t>
      </w:r>
    </w:p>
    <w:p w:rsidR="006676A8" w:rsidRPr="00D465EC" w:rsidRDefault="006676A8" w:rsidP="00D465EC">
      <w:pPr>
        <w:pStyle w:val="a4"/>
        <w:numPr>
          <w:ilvl w:val="0"/>
          <w:numId w:val="4"/>
        </w:numPr>
        <w:spacing w:line="200" w:lineRule="exact"/>
        <w:ind w:left="284" w:hanging="357"/>
        <w:jc w:val="both"/>
      </w:pPr>
      <w:r w:rsidRPr="00D465EC">
        <w:rPr>
          <w:snapToGrid w:val="0"/>
        </w:rPr>
        <w:t xml:space="preserve">Составить план лечения </w:t>
      </w:r>
      <w:r w:rsidRPr="00D465EC">
        <w:t xml:space="preserve">геморрагического диатеза </w:t>
      </w:r>
      <w:r w:rsidRPr="00D465EC">
        <w:rPr>
          <w:snapToGrid w:val="0"/>
        </w:rPr>
        <w:t>у ребёнка с учётом клинической формы и тяжести течения.</w:t>
      </w:r>
    </w:p>
    <w:p w:rsidR="00F35517" w:rsidRPr="00D465EC" w:rsidRDefault="00F35517" w:rsidP="00D465EC">
      <w:pPr>
        <w:spacing w:line="220" w:lineRule="exact"/>
        <w:jc w:val="both"/>
        <w:rPr>
          <w:b/>
        </w:rPr>
      </w:pPr>
      <w:r w:rsidRPr="00D465EC">
        <w:rPr>
          <w:b/>
        </w:rPr>
        <w:t>Утверждено на заседании ЦМК по педиатрическим дисциплинам</w:t>
      </w:r>
    </w:p>
    <w:p w:rsidR="00F35517" w:rsidRPr="00D465EC" w:rsidRDefault="001679F6" w:rsidP="00D465EC">
      <w:pPr>
        <w:spacing w:line="220" w:lineRule="exact"/>
        <w:jc w:val="both"/>
        <w:rPr>
          <w:b/>
        </w:rPr>
      </w:pPr>
      <w:r>
        <w:rPr>
          <w:b/>
        </w:rPr>
        <w:t>29</w:t>
      </w:r>
      <w:r w:rsidR="00F35517" w:rsidRPr="00D465EC">
        <w:rPr>
          <w:b/>
        </w:rPr>
        <w:t>.08. 202</w:t>
      </w:r>
      <w:r>
        <w:rPr>
          <w:b/>
        </w:rPr>
        <w:t>4</w:t>
      </w:r>
      <w:r w:rsidR="00F35517" w:rsidRPr="00D465EC">
        <w:rPr>
          <w:b/>
        </w:rPr>
        <w:t xml:space="preserve"> г., протокол № 1</w:t>
      </w:r>
    </w:p>
    <w:p w:rsidR="00F35517" w:rsidRPr="00D465EC" w:rsidRDefault="00F35517" w:rsidP="00D465EC">
      <w:pPr>
        <w:spacing w:line="220" w:lineRule="exact"/>
        <w:jc w:val="both"/>
        <w:rPr>
          <w:b/>
        </w:rPr>
      </w:pPr>
      <w:r w:rsidRPr="00D465EC">
        <w:rPr>
          <w:b/>
        </w:rPr>
        <w:t xml:space="preserve">Глава ЦМК, </w:t>
      </w:r>
      <w:proofErr w:type="spellStart"/>
      <w:r w:rsidRPr="00D465EC">
        <w:rPr>
          <w:b/>
        </w:rPr>
        <w:t>д.мед.н</w:t>
      </w:r>
      <w:proofErr w:type="spellEnd"/>
      <w:r w:rsidRPr="00D465EC">
        <w:rPr>
          <w:b/>
        </w:rPr>
        <w:t xml:space="preserve">., профессор           ____________________         </w:t>
      </w:r>
      <w:proofErr w:type="spellStart"/>
      <w:r w:rsidRPr="00D465EC">
        <w:rPr>
          <w:b/>
        </w:rPr>
        <w:t>Б.А.Безкаравайный</w:t>
      </w:r>
      <w:proofErr w:type="spellEnd"/>
    </w:p>
    <w:p w:rsidR="00F35517" w:rsidRPr="00D465EC" w:rsidRDefault="00F35517" w:rsidP="00D465EC">
      <w:pPr>
        <w:spacing w:line="220" w:lineRule="exact"/>
        <w:jc w:val="both"/>
        <w:rPr>
          <w:b/>
        </w:rPr>
      </w:pPr>
      <w:r w:rsidRPr="00D465EC">
        <w:rPr>
          <w:b/>
        </w:rPr>
        <w:t>Утверждено на методическом заседании кафедры педиатрии детской хирургии</w:t>
      </w:r>
    </w:p>
    <w:p w:rsidR="00F35517" w:rsidRPr="00D465EC" w:rsidRDefault="001679F6" w:rsidP="00D465EC">
      <w:pPr>
        <w:spacing w:line="220" w:lineRule="exact"/>
        <w:rPr>
          <w:b/>
        </w:rPr>
      </w:pPr>
      <w:r>
        <w:rPr>
          <w:b/>
        </w:rPr>
        <w:t>29</w:t>
      </w:r>
      <w:r w:rsidR="00F35517" w:rsidRPr="00D465EC">
        <w:rPr>
          <w:b/>
        </w:rPr>
        <w:t>.08. 202</w:t>
      </w:r>
      <w:r>
        <w:rPr>
          <w:b/>
        </w:rPr>
        <w:t>4</w:t>
      </w:r>
      <w:bookmarkStart w:id="0" w:name="_GoBack"/>
      <w:bookmarkEnd w:id="0"/>
      <w:r w:rsidR="00F35517" w:rsidRPr="00D465EC">
        <w:rPr>
          <w:b/>
        </w:rPr>
        <w:t xml:space="preserve"> г., протокол № 1</w:t>
      </w:r>
    </w:p>
    <w:p w:rsidR="00531416" w:rsidRPr="00D465EC" w:rsidRDefault="00F35517" w:rsidP="00D465EC">
      <w:pPr>
        <w:spacing w:line="220" w:lineRule="exact"/>
        <w:jc w:val="both"/>
        <w:rPr>
          <w:b/>
        </w:rPr>
      </w:pPr>
      <w:r w:rsidRPr="00D465EC">
        <w:rPr>
          <w:b/>
        </w:rPr>
        <w:t xml:space="preserve">Зав. кафедрой, </w:t>
      </w:r>
      <w:proofErr w:type="spellStart"/>
      <w:r w:rsidRPr="00D465EC">
        <w:rPr>
          <w:b/>
        </w:rPr>
        <w:t>д.мед.н</w:t>
      </w:r>
      <w:proofErr w:type="spellEnd"/>
      <w:r w:rsidRPr="00D465EC">
        <w:rPr>
          <w:b/>
        </w:rPr>
        <w:t xml:space="preserve">., профессор       ____________________         </w:t>
      </w:r>
      <w:proofErr w:type="spellStart"/>
      <w:r w:rsidRPr="00D465EC">
        <w:rPr>
          <w:b/>
        </w:rPr>
        <w:t>Б.А.Безкаравайный</w:t>
      </w:r>
      <w:proofErr w:type="spellEnd"/>
    </w:p>
    <w:sectPr w:rsidR="00531416" w:rsidRPr="00D465EC" w:rsidSect="00D465EC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6E7"/>
    <w:multiLevelType w:val="hybridMultilevel"/>
    <w:tmpl w:val="434AB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043A6"/>
    <w:multiLevelType w:val="multilevel"/>
    <w:tmpl w:val="12325E90"/>
    <w:lvl w:ilvl="0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402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1762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2482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2842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3562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3922" w:hanging="360"/>
      </w:pPr>
      <w:rPr>
        <w:rFonts w:ascii="OpenSymbol" w:hAnsi="OpenSymbol" w:hint="default"/>
      </w:rPr>
    </w:lvl>
  </w:abstractNum>
  <w:abstractNum w:abstractNumId="2">
    <w:nsid w:val="47EF61FC"/>
    <w:multiLevelType w:val="multilevel"/>
    <w:tmpl w:val="ADECC1CE"/>
    <w:lvl w:ilvl="0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402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1762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2482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2842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3562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3922" w:hanging="360"/>
      </w:pPr>
      <w:rPr>
        <w:rFonts w:ascii="OpenSymbol" w:hAnsi="OpenSymbol" w:hint="default"/>
      </w:rPr>
    </w:lvl>
  </w:abstractNum>
  <w:abstractNum w:abstractNumId="3">
    <w:nsid w:val="575221B1"/>
    <w:multiLevelType w:val="multilevel"/>
    <w:tmpl w:val="59AA63AC"/>
    <w:lvl w:ilvl="0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402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1762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2482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2842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3562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3922" w:hanging="360"/>
      </w:pPr>
      <w:rPr>
        <w:rFonts w:ascii="OpenSymbol" w:hAnsi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5428A"/>
    <w:rsid w:val="0003550A"/>
    <w:rsid w:val="001679F6"/>
    <w:rsid w:val="001A570B"/>
    <w:rsid w:val="002B4401"/>
    <w:rsid w:val="00531416"/>
    <w:rsid w:val="0053420B"/>
    <w:rsid w:val="00535BA9"/>
    <w:rsid w:val="006676A8"/>
    <w:rsid w:val="008A144D"/>
    <w:rsid w:val="008A18C0"/>
    <w:rsid w:val="009A0691"/>
    <w:rsid w:val="00A1018C"/>
    <w:rsid w:val="00A61EE3"/>
    <w:rsid w:val="00B01F97"/>
    <w:rsid w:val="00BE4956"/>
    <w:rsid w:val="00C5428A"/>
    <w:rsid w:val="00D03494"/>
    <w:rsid w:val="00D465EC"/>
    <w:rsid w:val="00DA2820"/>
    <w:rsid w:val="00DA4C87"/>
    <w:rsid w:val="00E37520"/>
    <w:rsid w:val="00E97F6F"/>
    <w:rsid w:val="00EE5CA6"/>
    <w:rsid w:val="00F35517"/>
    <w:rsid w:val="00FD0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232F0-AECF-4B54-9D64-99D4BC7E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8A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5428A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DejaVu Sans"/>
      <w:color w:val="00000A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9A0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20</cp:revision>
  <dcterms:created xsi:type="dcterms:W3CDTF">2018-11-14T11:44:00Z</dcterms:created>
  <dcterms:modified xsi:type="dcterms:W3CDTF">2024-09-05T10:22:00Z</dcterms:modified>
</cp:coreProperties>
</file>