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6B" w:rsidRPr="00EB6452" w:rsidRDefault="0045346B" w:rsidP="002C17F0">
      <w:pPr>
        <w:spacing w:after="0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EB6452">
        <w:rPr>
          <w:rFonts w:ascii="Times New Roman" w:hAnsi="Times New Roman"/>
          <w:b/>
          <w:bCs/>
          <w:sz w:val="28"/>
          <w:szCs w:val="28"/>
        </w:rPr>
        <w:t xml:space="preserve">КРИТЕРИИ ОЦЕНИВАНИЯ </w:t>
      </w:r>
    </w:p>
    <w:p w:rsidR="00995FEF" w:rsidRPr="00EB6452" w:rsidRDefault="0045346B" w:rsidP="002C17F0">
      <w:pPr>
        <w:tabs>
          <w:tab w:val="left" w:pos="-709"/>
        </w:tabs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6452">
        <w:rPr>
          <w:rFonts w:ascii="Times New Roman" w:hAnsi="Times New Roman"/>
          <w:b/>
          <w:bCs/>
          <w:sz w:val="28"/>
          <w:szCs w:val="28"/>
        </w:rPr>
        <w:t xml:space="preserve">ПО ДИСЦИПЛИНЕ </w:t>
      </w:r>
      <w:r w:rsidR="00114FDD" w:rsidRPr="00EB6452">
        <w:rPr>
          <w:rFonts w:ascii="Times New Roman" w:hAnsi="Times New Roman"/>
          <w:b/>
          <w:bCs/>
          <w:sz w:val="28"/>
          <w:szCs w:val="28"/>
        </w:rPr>
        <w:t>«</w:t>
      </w:r>
      <w:r w:rsidR="0028408F" w:rsidRPr="00EB6452">
        <w:rPr>
          <w:rFonts w:ascii="Times New Roman" w:hAnsi="Times New Roman"/>
          <w:b/>
          <w:bCs/>
          <w:sz w:val="28"/>
          <w:szCs w:val="28"/>
        </w:rPr>
        <w:t xml:space="preserve">СОЦИОЛОГИЯ, </w:t>
      </w:r>
      <w:r w:rsidR="006D6818" w:rsidRPr="00EB6452">
        <w:rPr>
          <w:rFonts w:ascii="Times New Roman" w:hAnsi="Times New Roman"/>
          <w:b/>
          <w:bCs/>
          <w:sz w:val="28"/>
          <w:szCs w:val="28"/>
        </w:rPr>
        <w:t>ПОЛИТОЛОГИЯ</w:t>
      </w:r>
      <w:r w:rsidR="008B3A3E" w:rsidRPr="00EB6452">
        <w:rPr>
          <w:rFonts w:ascii="Times New Roman" w:hAnsi="Times New Roman"/>
          <w:b/>
          <w:bCs/>
          <w:sz w:val="28"/>
          <w:szCs w:val="28"/>
        </w:rPr>
        <w:t>»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Текущий контроль знаний студентов на семинарских занятиях по дисциплине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i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>Устный ответ оценивается по таким критериям: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 xml:space="preserve">“Отлично” 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>“Хорошо”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 xml:space="preserve">“Удовлетворительно” 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>“Неудовлетворительно”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lastRenderedPageBreak/>
        <w:t>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>Письменный ответ тестовых заданий по теме оценивается таким образом: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 xml:space="preserve">“Отлично” 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>– 90 – 100 % правильных ответов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>“Хорошо”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 – 70 – 90 % правильных ответов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 xml:space="preserve">“Удовлетворительно” 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– 60 – 70 % правильных ответов 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b/>
          <w:i/>
          <w:sz w:val="28"/>
          <w:szCs w:val="28"/>
          <w:lang w:bidi="ar-SA"/>
        </w:rPr>
        <w:t>“Неудовлетворительно”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 xml:space="preserve"> – меньше 60 % правильных ответов.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 xml:space="preserve">При усвоении каждой темы модуля выставляются оценки по традиционной шкале. </w:t>
      </w:r>
      <w:r w:rsidRPr="00EB6452">
        <w:rPr>
          <w:rFonts w:ascii="Times New Roman" w:eastAsia="Times New Roman" w:hAnsi="Times New Roman" w:cs="Microsoft Uighur"/>
          <w:sz w:val="28"/>
          <w:szCs w:val="28"/>
          <w:lang w:bidi="ar-SA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EB6452" w:rsidRPr="00EB6452" w:rsidRDefault="00EB6452" w:rsidP="00EB6452">
      <w:pPr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EB6452" w:rsidRPr="00EB6452" w:rsidRDefault="00EB6452" w:rsidP="00EB645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>В процессе изучения дисциплины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EB6452" w:rsidRPr="00EB6452" w:rsidRDefault="00EB6452" w:rsidP="00EB645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</w:pPr>
      <w:r w:rsidRPr="00EB6452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>После изучения всей дисциплины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</w:t>
      </w:r>
      <w:r w:rsidR="00752A23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>ной работы составляет не менее 2</w:t>
      </w:r>
      <w:r w:rsidRPr="00EB6452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>,</w:t>
      </w:r>
      <w:r w:rsidR="00752A23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>6</w:t>
      </w:r>
      <w:bookmarkStart w:id="0" w:name="_GoBack"/>
      <w:bookmarkEnd w:id="0"/>
      <w:r w:rsidRPr="00EB6452">
        <w:rPr>
          <w:rFonts w:ascii="Times New Roman" w:eastAsia="Times New Roman" w:hAnsi="Times New Roman" w:cs="Microsoft Uighur"/>
          <w:sz w:val="28"/>
          <w:szCs w:val="28"/>
          <w:lang w:eastAsia="en-US" w:bidi="ar-SA"/>
        </w:rPr>
        <w:t xml:space="preserve"> балла.</w:t>
      </w:r>
    </w:p>
    <w:p w:rsidR="00FA2831" w:rsidRPr="00EB6452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EB6452">
      <w:pPr>
        <w:tabs>
          <w:tab w:val="left" w:pos="-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A2831" w:rsidRDefault="00FA2831" w:rsidP="002C17F0">
      <w:pPr>
        <w:tabs>
          <w:tab w:val="left" w:pos="-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C17F0" w:rsidRPr="002C17F0" w:rsidRDefault="002C17F0" w:rsidP="002C17F0">
      <w:pPr>
        <w:tabs>
          <w:tab w:val="left" w:pos="708"/>
        </w:tabs>
        <w:spacing w:after="120"/>
        <w:ind w:firstLine="426"/>
        <w:rPr>
          <w:rFonts w:ascii="Times New Roman" w:hAnsi="Times New Roman"/>
          <w:sz w:val="24"/>
          <w:szCs w:val="24"/>
        </w:rPr>
      </w:pPr>
      <w:r w:rsidRPr="002C17F0"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522"/>
      <w:bookmarkStart w:id="2" w:name="_Toc264543480"/>
      <w:r w:rsidRPr="002C17F0">
        <w:rPr>
          <w:rFonts w:ascii="Times New Roman" w:hAnsi="Times New Roman"/>
          <w:sz w:val="24"/>
          <w:szCs w:val="24"/>
        </w:rPr>
        <w:t>философии, правоведения социальных и гуманитарных наук, протокол № 1 от</w:t>
      </w:r>
      <w:r w:rsidR="00F32C4D">
        <w:rPr>
          <w:rFonts w:ascii="Times New Roman" w:hAnsi="Times New Roman"/>
          <w:sz w:val="24"/>
          <w:szCs w:val="24"/>
        </w:rPr>
        <w:t xml:space="preserve"> 27</w:t>
      </w:r>
      <w:r w:rsidR="00FA2831">
        <w:rPr>
          <w:rFonts w:ascii="Times New Roman" w:hAnsi="Times New Roman"/>
          <w:sz w:val="24"/>
          <w:szCs w:val="24"/>
        </w:rPr>
        <w:t>.08.2</w:t>
      </w:r>
      <w:r w:rsidR="00F32C4D">
        <w:rPr>
          <w:rFonts w:ascii="Times New Roman" w:hAnsi="Times New Roman"/>
          <w:sz w:val="24"/>
          <w:szCs w:val="24"/>
        </w:rPr>
        <w:t>4</w:t>
      </w:r>
      <w:r w:rsidRPr="002C17F0">
        <w:rPr>
          <w:rFonts w:ascii="Times New Roman" w:hAnsi="Times New Roman"/>
          <w:sz w:val="24"/>
          <w:szCs w:val="24"/>
        </w:rPr>
        <w:t xml:space="preserve"> г.</w:t>
      </w:r>
    </w:p>
    <w:bookmarkEnd w:id="1"/>
    <w:bookmarkEnd w:id="2"/>
    <w:p w:rsidR="002C17F0" w:rsidRDefault="002C17F0" w:rsidP="002C17F0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FA2831" w:rsidRPr="002C17F0" w:rsidRDefault="00FA2831" w:rsidP="002C17F0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2C17F0" w:rsidRPr="002C17F0" w:rsidRDefault="002C17F0" w:rsidP="002C17F0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 w:rsidRPr="002C17F0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2C17F0" w:rsidRPr="002C17F0" w:rsidRDefault="002C17F0" w:rsidP="002C17F0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 w:rsidRPr="002C17F0"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CD4308" w:rsidRPr="002C17F0" w:rsidRDefault="002C17F0" w:rsidP="009C2B33">
      <w:pPr>
        <w:ind w:firstLine="426"/>
        <w:rPr>
          <w:rFonts w:ascii="Times New Roman" w:hAnsi="Times New Roman"/>
          <w:sz w:val="24"/>
          <w:szCs w:val="24"/>
        </w:rPr>
      </w:pPr>
      <w:r w:rsidRPr="002C17F0">
        <w:rPr>
          <w:rFonts w:ascii="Times New Roman" w:hAnsi="Times New Roman"/>
          <w:sz w:val="24"/>
          <w:szCs w:val="24"/>
        </w:rPr>
        <w:t xml:space="preserve">доцент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C17F0">
        <w:rPr>
          <w:rFonts w:ascii="Times New Roman" w:hAnsi="Times New Roman"/>
          <w:sz w:val="24"/>
          <w:szCs w:val="24"/>
        </w:rPr>
        <w:t>И. А. Черных</w:t>
      </w:r>
    </w:p>
    <w:sectPr w:rsidR="00CD4308" w:rsidRPr="002C17F0" w:rsidSect="002C17F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EA03A74"/>
    <w:multiLevelType w:val="multilevel"/>
    <w:tmpl w:val="7D6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07418D9"/>
    <w:multiLevelType w:val="multilevel"/>
    <w:tmpl w:val="15188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4FDD"/>
    <w:rsid w:val="00073CF5"/>
    <w:rsid w:val="00114FDD"/>
    <w:rsid w:val="0028408F"/>
    <w:rsid w:val="002C17F0"/>
    <w:rsid w:val="004521B4"/>
    <w:rsid w:val="0045346B"/>
    <w:rsid w:val="004C7549"/>
    <w:rsid w:val="005A3925"/>
    <w:rsid w:val="005D7323"/>
    <w:rsid w:val="00674286"/>
    <w:rsid w:val="006D6818"/>
    <w:rsid w:val="00752A23"/>
    <w:rsid w:val="00882A98"/>
    <w:rsid w:val="008B2AE4"/>
    <w:rsid w:val="008B3A3E"/>
    <w:rsid w:val="008E5617"/>
    <w:rsid w:val="00912004"/>
    <w:rsid w:val="00995FEF"/>
    <w:rsid w:val="009C2B33"/>
    <w:rsid w:val="00AA502F"/>
    <w:rsid w:val="00AE60CD"/>
    <w:rsid w:val="00CD4308"/>
    <w:rsid w:val="00DA18D0"/>
    <w:rsid w:val="00EB4155"/>
    <w:rsid w:val="00EB6452"/>
    <w:rsid w:val="00EE033D"/>
    <w:rsid w:val="00F256BD"/>
    <w:rsid w:val="00F32C4D"/>
    <w:rsid w:val="00F76DA8"/>
    <w:rsid w:val="00FA2831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98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D4308"/>
    <w:pPr>
      <w:spacing w:after="0" w:line="240" w:lineRule="auto"/>
    </w:pPr>
    <w:rPr>
      <w:rFonts w:eastAsiaTheme="minorHAnsi" w:cstheme="minorBid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24</cp:revision>
  <cp:lastPrinted>2022-11-11T10:31:00Z</cp:lastPrinted>
  <dcterms:created xsi:type="dcterms:W3CDTF">2016-10-21T07:44:00Z</dcterms:created>
  <dcterms:modified xsi:type="dcterms:W3CDTF">2024-10-10T05:10:00Z</dcterms:modified>
</cp:coreProperties>
</file>