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99" w:rsidRPr="00FF25A1" w:rsidRDefault="00FE4709" w:rsidP="00FE47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3204FA">
        <w:rPr>
          <w:rFonts w:ascii="Times New Roman" w:hAnsi="Times New Roman" w:cs="Times New Roman"/>
          <w:b/>
          <w:sz w:val="28"/>
          <w:szCs w:val="28"/>
        </w:rPr>
        <w:t xml:space="preserve"> ТЕКУЩЕЙ УСПЕВАЕМОСТИ</w:t>
      </w:r>
      <w:bookmarkStart w:id="0" w:name="_GoBack"/>
      <w:bookmarkEnd w:id="0"/>
    </w:p>
    <w:p w:rsidR="00FF25A1" w:rsidRPr="003204FA" w:rsidRDefault="00DC6699" w:rsidP="003204FA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74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B6185E">
        <w:rPr>
          <w:rFonts w:ascii="Times New Roman" w:hAnsi="Times New Roman" w:cs="Times New Roman"/>
          <w:b/>
          <w:sz w:val="28"/>
          <w:szCs w:val="28"/>
        </w:rPr>
        <w:t xml:space="preserve">РУССКИЙ ЯЗЫК И </w:t>
      </w:r>
      <w:r w:rsidRPr="00387E74">
        <w:rPr>
          <w:rFonts w:ascii="Times New Roman" w:hAnsi="Times New Roman" w:cs="Times New Roman"/>
          <w:b/>
          <w:sz w:val="28"/>
          <w:szCs w:val="28"/>
        </w:rPr>
        <w:t>КУЛЬТУРА РЕЧИ</w:t>
      </w:r>
      <w:r w:rsidR="00B6185E">
        <w:rPr>
          <w:rFonts w:ascii="Times New Roman" w:hAnsi="Times New Roman" w:cs="Times New Roman"/>
          <w:b/>
          <w:sz w:val="28"/>
          <w:szCs w:val="28"/>
        </w:rPr>
        <w:t xml:space="preserve"> ВРАЧА</w:t>
      </w:r>
      <w:r w:rsidRPr="00387E74">
        <w:rPr>
          <w:rFonts w:ascii="Times New Roman" w:hAnsi="Times New Roman" w:cs="Times New Roman"/>
          <w:b/>
          <w:sz w:val="28"/>
          <w:szCs w:val="28"/>
        </w:rPr>
        <w:t>»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>Исходный уровень знаний студентов определяется на основе выполнения письменной работы (диктант). Письменная работа оценивается по таким критериям: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отсутствие ошибок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“отлично</w:t>
      </w:r>
      <w:r w:rsidRPr="007B2B35">
        <w:rPr>
          <w:rFonts w:ascii="Times New Roman" w:eastAsia="Symbol" w:hAnsi="Times New Roman" w:cs="Times New Roman"/>
          <w:i/>
          <w:kern w:val="2"/>
          <w:sz w:val="24"/>
          <w:szCs w:val="24"/>
          <w:lang w:eastAsia="ru-RU"/>
        </w:rPr>
        <w:t>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1 – 3 ошибки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“хорошо”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4 – 6 ошибок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“удовлетворительно”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>7 и более ошибок</w:t>
      </w:r>
      <w:r w:rsidRPr="007B2B35">
        <w:rPr>
          <w:rFonts w:ascii="Times New Roman" w:eastAsia="Symbol" w:hAnsi="Times New Roman" w:cs="Times New Roman"/>
          <w:i/>
          <w:kern w:val="2"/>
          <w:sz w:val="24"/>
          <w:szCs w:val="24"/>
          <w:lang w:eastAsia="ru-RU"/>
        </w:rPr>
        <w:t xml:space="preserve">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“неудовлетворительно”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Текущий контроль знаний студентов на занятиях по дисциплине </w:t>
      </w:r>
      <w:r w:rsidRPr="007B2B35">
        <w:rPr>
          <w:rFonts w:ascii="Times New Roman" w:eastAsia="Symbol" w:hAnsi="Times New Roman" w:cs="Times New Roman"/>
          <w:b/>
          <w:kern w:val="2"/>
          <w:sz w:val="24"/>
          <w:szCs w:val="24"/>
        </w:rPr>
        <w:t>«Русский язык и культура речи врача»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опроса по теоретическим вопросам темы и в форме оценивания выполнения устных и письменных заданий, определяющих практические умения и навыки студентов. Ответ оценивается по таким критериям: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</w:rPr>
        <w:t xml:space="preserve">“Отлично” 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– студент демонстрирует исчерпывающие знания по данному вопросу. Теоретический материал раскрыт полно – освещены все вопросы, сформулированные в предложенной теме ответа. Приведённые примеры соответствуют теме и теоретической части. Ответ построен последовательно и связно. При выполнении практических заданий студент демонстрирует высокий уровень знаний данной темы. При восприятии чужой речи студент свободно выделяет главную и второстепенную информацию, четко определяет тему и главную мысль высказывания, в целом текст воспринимает правильно и адекватно. В собственных высказываниях тема соответствует цели высказывания, основные положения текста изложены в четкой последовательности с выделением абзацев и использованием связей между ними, придается соответственная стилистическая окраска и выбран необходимый тип речи, целесообразно подобраны речевые средства и соблюдены нормы литературного языка, речевого этикета. Письменная речь оформлена правильно, нет ошибок.  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</w:rPr>
        <w:t>“Хорошо”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 – студент демонстрирует достаточный уровень знаний по данному вопросу. В изложении теоретического материала допущены незначительные ошибки или  освещены не все вопросы, сформулированные в предложенной теме ответа. Приведённые примеры соответствуют теме ответа и теоретической части. Ответ построен последовательно и связно. При выполнении практических заданий студент демонстрирует достаточный уровень знаний данной темы. При восприятии чужой речи студент понимает текст с незначительными ошибками, выделяет главную и второстепенную информацию, неточно определяет тему и главную мысль высказывания, прослеживаются отдельные ошибки в толковании воспринятых слов, в целом текст воспринимает правильно и адекватно. В собственных высказываниях неточно установлены смысловые связи между языковыми единицами текста, тема соответствует цели высказывания, допущены неточности в построении высказывания по плану, неправильно использованы эмоционально окрашенные слова и выражения, допущены незначительные ошибки в употреблении слов литературного языка, неточности в использовании языковых сре</w:t>
      </w:r>
      <w:proofErr w:type="gramStart"/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>дств вс</w:t>
      </w:r>
      <w:proofErr w:type="gramEnd"/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>ех уровней. В грамматике письменной речи допущены незначительные ошибки.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</w:rPr>
        <w:t xml:space="preserve">“Удовлетворительно” 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– студент демонстрирует поверхностный уровень знаний по данному вопросу. В структуре ответа нарушена логическая последовательность, нет выводов. В ответе нарушена последовательность и связность. При выполнении практических заданий студент демонстрирует поверхностный уровень знаний данной темы. При восприятии чужой речи студент понимает текст с незначительными ошибками, неправильно определяет тему и главную мысль высказывания, частично правильное толкование прочитанных слов и выражений, установление смысловых связей между языковыми единицами текста. При построении собственных высказываний возникают трудности в подборе информации по заданной теме, неточно определена и осмыслена тема 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lastRenderedPageBreak/>
        <w:t>и основная мысль будущего высказывания. Прослеживаются смысловые разрывы в изложении содержания, отсутствуют средства связи между частями текста, неудачно подобрана стилистическая окраска текста. Студент не умеет пользоваться синонимами, неправильно использует слова с переносным значением и фразеологизмы, нарушены нормы литературного языка. В грамматике письменной речи допущены ошибки разных уровней.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</w:rPr>
        <w:t>“Неудовлетворительно”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 Примеры не соответствуют теме ответа. Ответ построен непоследовательно и бессвязно. При выполнении практических заданий студент демонстрирует низкий уровень знаний данной темы. Студент неправильно, эпизодически понимает воспринимаемую речь, у него отсутствуют умения и навыки определять тему и главную мысль текста, он неправильно толкует слова и неправильно устанавливает смысловые связи между единицами текста. При построении собственных высказываний прослеживается ограниченность знаний по заданной теме, отсутствие умений и навыков определять и осмысливать тему и основную мысль будущего высказывания. В изложении содержания прослеживается бессистемность, наличие смысловых разрывов, нарушение стилевого единства текста, неумение подбирать необходимые речевые средства для оформления высказывания, неправильное использование языковых средств разных уровней. Неграмотное оформление письменной речи.</w:t>
      </w:r>
    </w:p>
    <w:p w:rsidR="007B2B35" w:rsidRPr="007B2B35" w:rsidRDefault="007B2B35" w:rsidP="003204FA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>Рабочей программой предусмотрено проведение 2 промежуточных контрольных работ. Промежуточная контрольная работа оценивается по таким критериям: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отсутствие ошибок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“отлично</w:t>
      </w:r>
      <w:r w:rsidRPr="007B2B35">
        <w:rPr>
          <w:rFonts w:ascii="Times New Roman" w:eastAsia="Symbol" w:hAnsi="Times New Roman" w:cs="Times New Roman"/>
          <w:i/>
          <w:kern w:val="2"/>
          <w:sz w:val="24"/>
          <w:szCs w:val="24"/>
          <w:lang w:eastAsia="ru-RU"/>
        </w:rPr>
        <w:t>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1 – 3 ошибки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“хорошо”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4 – 6 ошибок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“удовлетворительно”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>7 и более ошибок</w:t>
      </w:r>
      <w:r w:rsidRPr="007B2B35">
        <w:rPr>
          <w:rFonts w:ascii="Times New Roman" w:eastAsia="Symbol" w:hAnsi="Times New Roman" w:cs="Times New Roman"/>
          <w:i/>
          <w:kern w:val="2"/>
          <w:sz w:val="24"/>
          <w:szCs w:val="24"/>
          <w:lang w:eastAsia="ru-RU"/>
        </w:rPr>
        <w:t xml:space="preserve"> – </w:t>
      </w:r>
      <w:r w:rsidRPr="007B2B35">
        <w:rPr>
          <w:rFonts w:ascii="Times New Roman" w:eastAsia="Symbol" w:hAnsi="Times New Roman" w:cs="Times New Roman"/>
          <w:b/>
          <w:i/>
          <w:kern w:val="2"/>
          <w:sz w:val="24"/>
          <w:szCs w:val="24"/>
          <w:lang w:eastAsia="ru-RU"/>
        </w:rPr>
        <w:t>“неудовлетворительно”</w:t>
      </w:r>
    </w:p>
    <w:p w:rsidR="007B2B35" w:rsidRPr="007B2B35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1134"/>
        <w:jc w:val="both"/>
        <w:rPr>
          <w:rFonts w:ascii="Times New Roman" w:eastAsia="Symbol" w:hAnsi="Times New Roman" w:cs="Times New Roman"/>
          <w:kern w:val="2"/>
          <w:sz w:val="20"/>
          <w:szCs w:val="20"/>
          <w:lang w:eastAsia="ru-RU"/>
        </w:rPr>
      </w:pPr>
      <w:r w:rsidRPr="007B2B35">
        <w:rPr>
          <w:rFonts w:ascii="Times New Roman" w:eastAsia="Symbol" w:hAnsi="Times New Roman" w:cs="Times New Roman"/>
          <w:kern w:val="2"/>
          <w:sz w:val="24"/>
          <w:szCs w:val="24"/>
        </w:rPr>
        <w:t xml:space="preserve">При усвоении каждой темы модуля оценки выставляются по традиционной шкале. 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FF25A1" w:rsidRDefault="007B2B35" w:rsidP="003204FA">
      <w:pPr>
        <w:widowControl w:val="0"/>
        <w:tabs>
          <w:tab w:val="left" w:pos="643"/>
        </w:tabs>
        <w:suppressAutoHyphens/>
        <w:spacing w:after="0" w:line="240" w:lineRule="auto"/>
        <w:ind w:firstLine="708"/>
        <w:jc w:val="both"/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</w:pP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Самостоятельная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работа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студентов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предусмотрена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рабочей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 программой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по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  <w:lang w:eastAsia="ru-RU"/>
        </w:rPr>
        <w:t xml:space="preserve"> дисциплине</w:t>
      </w:r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.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Темы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,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вынесенные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на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самостоятельное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изучение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,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соответствуют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заданиям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для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подготовки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портфолио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. Таким образом,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усвоение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тем,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вынесенных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на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самостоятельное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изучение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,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оценивается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при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проверке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портфолио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.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После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изучения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всей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дисциплины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на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последнем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занятии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осуществляется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контроль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выполнения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заданий для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самостоятельной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работы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студентов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.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Наличие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портфолио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является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обязательным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условием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для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допуска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студента к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сдаче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 xml:space="preserve"> </w:t>
      </w:r>
      <w:proofErr w:type="spellStart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экзамена</w:t>
      </w:r>
      <w:proofErr w:type="spellEnd"/>
      <w:r w:rsidRPr="007B2B35"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  <w:t>.</w:t>
      </w:r>
    </w:p>
    <w:p w:rsidR="003204FA" w:rsidRDefault="003204FA" w:rsidP="003204FA">
      <w:pPr>
        <w:widowControl w:val="0"/>
        <w:tabs>
          <w:tab w:val="left" w:pos="643"/>
        </w:tabs>
        <w:suppressAutoHyphens/>
        <w:spacing w:after="0" w:line="240" w:lineRule="auto"/>
        <w:ind w:firstLine="708"/>
        <w:jc w:val="both"/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</w:pPr>
    </w:p>
    <w:p w:rsidR="003204FA" w:rsidRDefault="003204FA" w:rsidP="003204FA">
      <w:pPr>
        <w:widowControl w:val="0"/>
        <w:tabs>
          <w:tab w:val="left" w:pos="643"/>
        </w:tabs>
        <w:suppressAutoHyphens/>
        <w:spacing w:after="0" w:line="240" w:lineRule="auto"/>
        <w:ind w:firstLine="708"/>
        <w:jc w:val="both"/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</w:pPr>
    </w:p>
    <w:p w:rsidR="003204FA" w:rsidRDefault="003204FA" w:rsidP="003204FA">
      <w:pPr>
        <w:widowControl w:val="0"/>
        <w:tabs>
          <w:tab w:val="left" w:pos="643"/>
        </w:tabs>
        <w:suppressAutoHyphens/>
        <w:spacing w:after="0" w:line="240" w:lineRule="auto"/>
        <w:ind w:firstLine="708"/>
        <w:jc w:val="both"/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</w:pPr>
    </w:p>
    <w:p w:rsidR="003204FA" w:rsidRPr="003204FA" w:rsidRDefault="003204FA" w:rsidP="003204FA">
      <w:pPr>
        <w:widowControl w:val="0"/>
        <w:tabs>
          <w:tab w:val="left" w:pos="643"/>
        </w:tabs>
        <w:suppressAutoHyphens/>
        <w:spacing w:after="0" w:line="240" w:lineRule="auto"/>
        <w:ind w:firstLine="708"/>
        <w:jc w:val="both"/>
        <w:rPr>
          <w:rFonts w:ascii="Times New Roman" w:eastAsia="Symbol" w:hAnsi="Times New Roman" w:cs="Times New Roman"/>
          <w:kern w:val="2"/>
          <w:sz w:val="24"/>
          <w:szCs w:val="24"/>
          <w:lang w:val="uk-UA" w:eastAsia="ru-RU"/>
        </w:rPr>
      </w:pPr>
    </w:p>
    <w:p w:rsidR="004C595E" w:rsidRPr="00A81255" w:rsidRDefault="004C595E" w:rsidP="004C595E">
      <w:pPr>
        <w:tabs>
          <w:tab w:val="left" w:pos="708"/>
        </w:tabs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A81255"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 w:rsidRPr="00A81255">
        <w:rPr>
          <w:rFonts w:ascii="Times New Roman" w:hAnsi="Times New Roman"/>
          <w:bCs/>
          <w:sz w:val="24"/>
          <w:szCs w:val="24"/>
        </w:rPr>
        <w:t xml:space="preserve">философии, </w:t>
      </w:r>
      <w:r w:rsidR="00B6185E">
        <w:rPr>
          <w:rFonts w:ascii="Times New Roman" w:hAnsi="Times New Roman"/>
          <w:bCs/>
          <w:sz w:val="24"/>
          <w:szCs w:val="24"/>
        </w:rPr>
        <w:t xml:space="preserve">правоведения, </w:t>
      </w:r>
      <w:r w:rsidRPr="00A81255">
        <w:rPr>
          <w:rFonts w:ascii="Times New Roman" w:hAnsi="Times New Roman"/>
          <w:bCs/>
          <w:sz w:val="24"/>
          <w:szCs w:val="24"/>
        </w:rPr>
        <w:t>социальных и гуманитарны</w:t>
      </w:r>
      <w:r w:rsidR="00900EE4">
        <w:rPr>
          <w:rFonts w:ascii="Times New Roman" w:hAnsi="Times New Roman"/>
          <w:bCs/>
          <w:sz w:val="24"/>
          <w:szCs w:val="24"/>
        </w:rPr>
        <w:t xml:space="preserve">х наук, </w:t>
      </w:r>
      <w:r w:rsidR="007B2B35">
        <w:rPr>
          <w:rFonts w:ascii="Times New Roman" w:hAnsi="Times New Roman"/>
          <w:bCs/>
          <w:sz w:val="24"/>
          <w:szCs w:val="24"/>
        </w:rPr>
        <w:t>протокол № 1 от 27.08.24</w:t>
      </w:r>
      <w:r w:rsidR="0005635B">
        <w:rPr>
          <w:rFonts w:ascii="Times New Roman" w:hAnsi="Times New Roman"/>
          <w:bCs/>
          <w:sz w:val="24"/>
          <w:szCs w:val="24"/>
        </w:rPr>
        <w:t xml:space="preserve"> </w:t>
      </w:r>
      <w:r w:rsidRPr="00A81255">
        <w:rPr>
          <w:rFonts w:ascii="Times New Roman" w:hAnsi="Times New Roman"/>
          <w:bCs/>
          <w:sz w:val="24"/>
          <w:szCs w:val="24"/>
        </w:rPr>
        <w:t>г</w:t>
      </w:r>
      <w:r w:rsidR="0005635B">
        <w:rPr>
          <w:rFonts w:ascii="Times New Roman" w:hAnsi="Times New Roman"/>
          <w:bCs/>
          <w:sz w:val="24"/>
          <w:szCs w:val="24"/>
        </w:rPr>
        <w:t>.</w:t>
      </w:r>
    </w:p>
    <w:bookmarkEnd w:id="1"/>
    <w:bookmarkEnd w:id="2"/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FF25A1" w:rsidRDefault="00FF25A1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FF25A1" w:rsidRDefault="00FF25A1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A81255">
        <w:rPr>
          <w:rFonts w:ascii="Times New Roman" w:hAnsi="Times New Roman"/>
          <w:sz w:val="24"/>
          <w:szCs w:val="24"/>
          <w:lang w:val="ru-RU"/>
        </w:rPr>
        <w:t xml:space="preserve"> философии,</w:t>
      </w:r>
      <w:r w:rsidR="00A5503C">
        <w:rPr>
          <w:rFonts w:ascii="Times New Roman" w:hAnsi="Times New Roman"/>
          <w:sz w:val="24"/>
          <w:szCs w:val="24"/>
          <w:lang w:val="ru-RU"/>
        </w:rPr>
        <w:t xml:space="preserve"> правоведения,</w:t>
      </w: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A81255">
        <w:rPr>
          <w:rFonts w:ascii="Times New Roman" w:hAnsi="Times New Roman"/>
          <w:sz w:val="24"/>
          <w:szCs w:val="24"/>
          <w:lang w:val="ru-RU"/>
        </w:rPr>
        <w:t>социальных и гуманитарных наук,</w:t>
      </w:r>
    </w:p>
    <w:p w:rsidR="004C595E" w:rsidRPr="00A81255" w:rsidRDefault="004C595E" w:rsidP="004C595E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A81255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Pr="00A81255">
        <w:rPr>
          <w:rFonts w:ascii="Times New Roman" w:hAnsi="Times New Roman"/>
          <w:sz w:val="24"/>
          <w:szCs w:val="24"/>
        </w:rPr>
        <w:tab/>
      </w:r>
      <w:r w:rsidR="00FF25A1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A81255">
        <w:rPr>
          <w:rFonts w:ascii="Times New Roman" w:hAnsi="Times New Roman"/>
          <w:sz w:val="24"/>
          <w:szCs w:val="24"/>
          <w:lang w:val="uk-UA"/>
        </w:rPr>
        <w:t>И.</w:t>
      </w:r>
      <w:r w:rsidR="00FF25A1">
        <w:rPr>
          <w:rFonts w:ascii="Times New Roman" w:hAnsi="Times New Roman"/>
          <w:sz w:val="24"/>
          <w:szCs w:val="24"/>
          <w:lang w:val="uk-UA"/>
        </w:rPr>
        <w:t> </w:t>
      </w:r>
      <w:r w:rsidRPr="00A81255">
        <w:rPr>
          <w:rFonts w:ascii="Times New Roman" w:hAnsi="Times New Roman"/>
          <w:sz w:val="24"/>
          <w:szCs w:val="24"/>
          <w:lang w:val="uk-UA"/>
        </w:rPr>
        <w:t xml:space="preserve">А. </w:t>
      </w:r>
      <w:proofErr w:type="spellStart"/>
      <w:r w:rsidRPr="00A81255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p w:rsidR="00A01958" w:rsidRPr="00387E74" w:rsidRDefault="00A01958" w:rsidP="00387E74">
      <w:pPr>
        <w:tabs>
          <w:tab w:val="left" w:pos="70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1958" w:rsidRPr="00387E74" w:rsidSect="00F6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699"/>
    <w:rsid w:val="0005635B"/>
    <w:rsid w:val="000C7E85"/>
    <w:rsid w:val="000D0193"/>
    <w:rsid w:val="001453CE"/>
    <w:rsid w:val="0031511F"/>
    <w:rsid w:val="003204FA"/>
    <w:rsid w:val="00387E74"/>
    <w:rsid w:val="004C595E"/>
    <w:rsid w:val="00676285"/>
    <w:rsid w:val="007B2B35"/>
    <w:rsid w:val="00811024"/>
    <w:rsid w:val="00900EE4"/>
    <w:rsid w:val="0092799B"/>
    <w:rsid w:val="00931CC2"/>
    <w:rsid w:val="00A01958"/>
    <w:rsid w:val="00A5503C"/>
    <w:rsid w:val="00B43D0D"/>
    <w:rsid w:val="00B6185E"/>
    <w:rsid w:val="00DC6699"/>
    <w:rsid w:val="00FE4709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595E"/>
    <w:pPr>
      <w:spacing w:after="0" w:line="240" w:lineRule="auto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16</cp:revision>
  <dcterms:created xsi:type="dcterms:W3CDTF">2015-10-29T11:07:00Z</dcterms:created>
  <dcterms:modified xsi:type="dcterms:W3CDTF">2024-10-10T05:28:00Z</dcterms:modified>
</cp:coreProperties>
</file>